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9A27" w14:textId="77777777" w:rsidR="00F41B64" w:rsidRPr="00BB5007" w:rsidRDefault="00DC50C8" w:rsidP="00C338DB">
      <w:pPr>
        <w:pStyle w:val="NoSpacing"/>
        <w:jc w:val="center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P</w:t>
      </w:r>
      <w:r>
        <w:rPr>
          <w:b/>
          <w:sz w:val="24"/>
          <w:szCs w:val="24"/>
          <w:lang w:val="es-DO"/>
        </w:rPr>
        <w:t>ÓLITICA</w:t>
      </w:r>
      <w:r w:rsidRPr="00BB5007">
        <w:rPr>
          <w:b/>
          <w:sz w:val="24"/>
          <w:szCs w:val="24"/>
          <w:lang w:val="es-DO"/>
        </w:rPr>
        <w:t xml:space="preserve"> </w:t>
      </w:r>
      <w:r>
        <w:rPr>
          <w:b/>
          <w:sz w:val="24"/>
          <w:szCs w:val="24"/>
          <w:lang w:val="es-DO"/>
        </w:rPr>
        <w:t xml:space="preserve">DE </w:t>
      </w:r>
      <w:r w:rsidR="00F41B64" w:rsidRPr="00BB5007">
        <w:rPr>
          <w:b/>
          <w:sz w:val="24"/>
          <w:szCs w:val="24"/>
          <w:lang w:val="es-DO"/>
        </w:rPr>
        <w:t xml:space="preserve">RANDOLPH </w:t>
      </w:r>
      <w:r w:rsidR="00BF26A0" w:rsidRPr="00BB5007">
        <w:rPr>
          <w:b/>
          <w:sz w:val="24"/>
          <w:szCs w:val="24"/>
          <w:lang w:val="es-DO"/>
        </w:rPr>
        <w:t xml:space="preserve">HEALTH </w:t>
      </w:r>
    </w:p>
    <w:p w14:paraId="4646B996" w14:textId="3ED1A987" w:rsidR="008147E0" w:rsidRPr="00BB5007" w:rsidRDefault="002A0BC6" w:rsidP="008147E0">
      <w:pPr>
        <w:pStyle w:val="NoSpacing"/>
        <w:rPr>
          <w:b/>
          <w:lang w:val="es-DO"/>
        </w:rPr>
      </w:pPr>
      <w:r>
        <w:rPr>
          <w:b/>
          <w:noProof/>
          <w:lang w:val="es-DO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12E67FB" wp14:editId="202176A7">
                <wp:simplePos x="0" y="0"/>
                <wp:positionH relativeFrom="column">
                  <wp:posOffset>-6350</wp:posOffset>
                </wp:positionH>
                <wp:positionV relativeFrom="paragraph">
                  <wp:posOffset>93344</wp:posOffset>
                </wp:positionV>
                <wp:extent cx="6120765" cy="0"/>
                <wp:effectExtent l="0" t="0" r="0" b="0"/>
                <wp:wrapNone/>
                <wp:docPr id="177254467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D0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7.35pt;width:481.9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hkuAEAAFYDAAAOAAAAZHJzL2Uyb0RvYy54bWysU8Fu2zAMvQ/YPwi6L7YDJNu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"/>
            </w:pict>
          </mc:Fallback>
        </mc:AlternateContent>
      </w:r>
    </w:p>
    <w:p w14:paraId="224A8D28" w14:textId="77777777" w:rsidR="008147E0" w:rsidRPr="00BB5007" w:rsidRDefault="008147E0" w:rsidP="008147E0">
      <w:pPr>
        <w:pStyle w:val="NoSpacing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Título:</w:t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  <w:t>Mitigación de deuda médica</w:t>
      </w:r>
    </w:p>
    <w:p w14:paraId="2115ECF5" w14:textId="77777777" w:rsidR="008147E0" w:rsidRPr="00BB5007" w:rsidRDefault="008147E0" w:rsidP="00881629">
      <w:pPr>
        <w:pStyle w:val="NoSpacing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Política:</w:t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  <w:t>FD-PA- 9</w:t>
      </w:r>
    </w:p>
    <w:p w14:paraId="61303A09" w14:textId="77777777" w:rsidR="008147E0" w:rsidRPr="00BB5007" w:rsidRDefault="008147E0" w:rsidP="00881629">
      <w:pPr>
        <w:pStyle w:val="NoSpacing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Ámbito:</w:t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="0078717A">
        <w:rPr>
          <w:b/>
          <w:sz w:val="24"/>
          <w:szCs w:val="24"/>
          <w:lang w:val="es-DO"/>
        </w:rPr>
        <w:t>Todo el hospital</w:t>
      </w:r>
    </w:p>
    <w:p w14:paraId="122F4C9B" w14:textId="77777777" w:rsidR="008147E0" w:rsidRPr="0078717A" w:rsidRDefault="008147E0" w:rsidP="00CF1AA1">
      <w:pPr>
        <w:pStyle w:val="NoSpacing"/>
        <w:ind w:left="2880" w:hanging="2880"/>
        <w:rPr>
          <w:b/>
          <w:sz w:val="24"/>
          <w:szCs w:val="24"/>
          <w:lang w:val="es-DO"/>
        </w:rPr>
      </w:pPr>
      <w:r w:rsidRPr="0078717A">
        <w:rPr>
          <w:b/>
          <w:sz w:val="24"/>
          <w:szCs w:val="24"/>
          <w:lang w:val="es-DO"/>
        </w:rPr>
        <w:t>Fecha que entrada en vigor:</w:t>
      </w:r>
      <w:r w:rsidRPr="0078717A">
        <w:rPr>
          <w:b/>
          <w:sz w:val="24"/>
          <w:szCs w:val="24"/>
          <w:lang w:val="es-DO"/>
        </w:rPr>
        <w:tab/>
      </w:r>
      <w:r w:rsidR="0078717A" w:rsidRPr="0078717A">
        <w:rPr>
          <w:b/>
          <w:sz w:val="24"/>
          <w:szCs w:val="24"/>
          <w:lang w:val="es-DO"/>
        </w:rPr>
        <w:t xml:space="preserve">Enero 1 </w:t>
      </w:r>
      <w:r w:rsidRPr="0078717A">
        <w:rPr>
          <w:b/>
          <w:sz w:val="24"/>
          <w:szCs w:val="24"/>
          <w:lang w:val="es-DO"/>
        </w:rPr>
        <w:t>de 2025</w:t>
      </w:r>
    </w:p>
    <w:p w14:paraId="3B9A87E9" w14:textId="77777777" w:rsidR="00881629" w:rsidRPr="00BB5007" w:rsidRDefault="008147E0" w:rsidP="00CF1AA1">
      <w:pPr>
        <w:pStyle w:val="NoSpacing"/>
        <w:ind w:left="2880" w:hanging="2880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Fecha de Última revisión:</w:t>
      </w:r>
      <w:r w:rsidR="00881629" w:rsidRPr="00BB5007">
        <w:rPr>
          <w:b/>
          <w:sz w:val="24"/>
          <w:szCs w:val="24"/>
          <w:lang w:val="es-DO"/>
        </w:rPr>
        <w:tab/>
      </w:r>
    </w:p>
    <w:p w14:paraId="325CD8ED" w14:textId="77777777" w:rsidR="008147E0" w:rsidRPr="00BB5007" w:rsidRDefault="008147E0" w:rsidP="00881629">
      <w:pPr>
        <w:pStyle w:val="NoSpacing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Fecha original de la póliza:</w:t>
      </w:r>
      <w:r w:rsidRPr="00BB5007">
        <w:rPr>
          <w:b/>
          <w:sz w:val="24"/>
          <w:szCs w:val="24"/>
          <w:lang w:val="es-DO"/>
        </w:rPr>
        <w:tab/>
        <w:t>11 de diciembre de 2024</w:t>
      </w:r>
    </w:p>
    <w:p w14:paraId="2EFAC96D" w14:textId="77777777" w:rsidR="008147E0" w:rsidRPr="00BB5007" w:rsidRDefault="008147E0" w:rsidP="00881629">
      <w:pPr>
        <w:pStyle w:val="NoSpacing"/>
        <w:rPr>
          <w:b/>
          <w:sz w:val="22"/>
          <w:szCs w:val="22"/>
          <w:lang w:val="es-DO"/>
        </w:rPr>
      </w:pPr>
      <w:r w:rsidRPr="00BB5007">
        <w:rPr>
          <w:b/>
          <w:sz w:val="24"/>
          <w:szCs w:val="24"/>
          <w:lang w:val="es-DO"/>
        </w:rPr>
        <w:t>Preparado por:</w:t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2"/>
          <w:szCs w:val="22"/>
          <w:lang w:val="es-DO"/>
        </w:rPr>
        <w:t>Directora de Servicios Financieros para Pacientes, Donna Parsons</w:t>
      </w:r>
    </w:p>
    <w:p w14:paraId="660E1F74" w14:textId="77777777" w:rsidR="008147E0" w:rsidRPr="00BB5007" w:rsidRDefault="008147E0" w:rsidP="00881629">
      <w:pPr>
        <w:pStyle w:val="NoSpacing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Aprobado por:</w:t>
      </w:r>
      <w:r w:rsidRPr="00BB5007">
        <w:rPr>
          <w:b/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ab/>
      </w:r>
      <w:r w:rsidR="00261C24" w:rsidRPr="00BB5007">
        <w:rPr>
          <w:b/>
          <w:sz w:val="24"/>
          <w:szCs w:val="24"/>
          <w:lang w:val="es-DO"/>
        </w:rPr>
        <w:t xml:space="preserve">Jefe </w:t>
      </w:r>
      <w:r w:rsidRPr="00BB5007">
        <w:rPr>
          <w:b/>
          <w:sz w:val="24"/>
          <w:szCs w:val="24"/>
          <w:lang w:val="es-DO"/>
        </w:rPr>
        <w:t>Director</w:t>
      </w:r>
      <w:r w:rsidR="00261C24" w:rsidRPr="00BB5007">
        <w:rPr>
          <w:b/>
          <w:sz w:val="24"/>
          <w:szCs w:val="24"/>
          <w:lang w:val="es-DO"/>
        </w:rPr>
        <w:t xml:space="preserve"> </w:t>
      </w:r>
      <w:r w:rsidRPr="00BB5007">
        <w:rPr>
          <w:b/>
          <w:sz w:val="24"/>
          <w:szCs w:val="24"/>
          <w:lang w:val="es-DO"/>
        </w:rPr>
        <w:t xml:space="preserve"> Financiero, Kent Thompson</w:t>
      </w:r>
    </w:p>
    <w:p w14:paraId="46D9A292" w14:textId="3F78D068" w:rsidR="00881629" w:rsidRPr="00BB5007" w:rsidRDefault="002A0BC6" w:rsidP="00F41B64">
      <w:pPr>
        <w:pStyle w:val="NoSpacing"/>
        <w:rPr>
          <w:rFonts w:ascii="Calibri" w:hAnsi="Calibri"/>
          <w:sz w:val="24"/>
          <w:szCs w:val="24"/>
          <w:u w:val="single"/>
          <w:lang w:val="es-DO"/>
        </w:rPr>
      </w:pPr>
      <w:r>
        <w:rPr>
          <w:rFonts w:ascii="Calibri" w:hAnsi="Calibri"/>
          <w:noProof/>
          <w:sz w:val="24"/>
          <w:szCs w:val="24"/>
          <w:u w:val="single"/>
          <w:lang w:val="es-D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57C507" wp14:editId="41D5BB22">
                <wp:simplePos x="0" y="0"/>
                <wp:positionH relativeFrom="column">
                  <wp:posOffset>-6350</wp:posOffset>
                </wp:positionH>
                <wp:positionV relativeFrom="paragraph">
                  <wp:posOffset>150494</wp:posOffset>
                </wp:positionV>
                <wp:extent cx="6120765" cy="0"/>
                <wp:effectExtent l="0" t="0" r="0" b="0"/>
                <wp:wrapNone/>
                <wp:docPr id="131827854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581A" id="Straight Arrow Connector 1" o:spid="_x0000_s1026" type="#_x0000_t32" style="position:absolute;margin-left:-.5pt;margin-top:11.85pt;width:481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hkuAEAAFYDAAAOAAAAZHJzL2Uyb0RvYy54bWysU8Fu2zAMvQ/YPwi6L7YDJNu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"/>
            </w:pict>
          </mc:Fallback>
        </mc:AlternateContent>
      </w:r>
    </w:p>
    <w:p w14:paraId="263E976D" w14:textId="77777777" w:rsidR="006F4586" w:rsidRPr="00BB5007" w:rsidRDefault="006F4586" w:rsidP="00C9247A">
      <w:pPr>
        <w:pStyle w:val="NoSpacing"/>
        <w:rPr>
          <w:sz w:val="24"/>
          <w:szCs w:val="24"/>
          <w:lang w:val="es-DO"/>
        </w:rPr>
      </w:pPr>
    </w:p>
    <w:p w14:paraId="4A440903" w14:textId="77777777" w:rsidR="006F4586" w:rsidRPr="0078717A" w:rsidRDefault="006F4586" w:rsidP="006F4586">
      <w:pPr>
        <w:pStyle w:val="NoSpacing"/>
        <w:rPr>
          <w:b/>
          <w:sz w:val="24"/>
          <w:szCs w:val="24"/>
          <w:u w:val="single"/>
          <w:lang w:val="es-DO"/>
        </w:rPr>
      </w:pPr>
      <w:r w:rsidRPr="0078717A">
        <w:rPr>
          <w:b/>
          <w:sz w:val="24"/>
          <w:szCs w:val="24"/>
          <w:u w:val="single"/>
          <w:lang w:val="es-DO"/>
        </w:rPr>
        <w:t xml:space="preserve">POLÍTICA/PROPÓSITO    </w:t>
      </w:r>
    </w:p>
    <w:p w14:paraId="2F1A9ED1" w14:textId="77777777" w:rsidR="00261C24" w:rsidRPr="00BB5007" w:rsidRDefault="00261C24" w:rsidP="006F4586">
      <w:pPr>
        <w:pStyle w:val="NoSpacing"/>
        <w:rPr>
          <w:sz w:val="24"/>
          <w:szCs w:val="24"/>
          <w:lang w:val="es-DO"/>
        </w:rPr>
      </w:pPr>
    </w:p>
    <w:p w14:paraId="2B4B92E4" w14:textId="77777777" w:rsidR="006F4586" w:rsidRPr="00BB5007" w:rsidRDefault="006F4586" w:rsidP="006F4586">
      <w:pPr>
        <w:pStyle w:val="NoSpacing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Randolph Health reconoce que el costo de los servicios de salud necesarios puede imponer una carga financiera a los pacientes y actuará para disminuir esa carga siguiendo las directrices del Estado para la Mitigación de Deuda, además de nuestro Programa de Asistencia Financiera.</w:t>
      </w:r>
    </w:p>
    <w:p w14:paraId="0D4EFBF0" w14:textId="77777777" w:rsidR="006F4586" w:rsidRPr="00BB5007" w:rsidRDefault="006F4586" w:rsidP="00BB27E8">
      <w:pPr>
        <w:pStyle w:val="NoSpacing"/>
        <w:jc w:val="both"/>
        <w:rPr>
          <w:sz w:val="24"/>
          <w:szCs w:val="24"/>
          <w:lang w:val="es-DO"/>
        </w:rPr>
      </w:pPr>
    </w:p>
    <w:p w14:paraId="2A23E820" w14:textId="77777777" w:rsidR="006F4586" w:rsidRPr="00BB5007" w:rsidRDefault="006F4586" w:rsidP="006F4586">
      <w:pPr>
        <w:pStyle w:val="NoSpacing"/>
        <w:jc w:val="both"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A</w:t>
      </w:r>
      <w:r w:rsidR="00261C24" w:rsidRPr="00BB5007">
        <w:rPr>
          <w:b/>
          <w:sz w:val="24"/>
          <w:szCs w:val="24"/>
          <w:lang w:val="es-DO"/>
        </w:rPr>
        <w:t>SISTENCIA</w:t>
      </w:r>
      <w:r w:rsidRPr="00BB5007">
        <w:rPr>
          <w:b/>
          <w:sz w:val="24"/>
          <w:szCs w:val="24"/>
          <w:lang w:val="es-DO"/>
        </w:rPr>
        <w:t xml:space="preserve"> FINANCIERA </w:t>
      </w:r>
    </w:p>
    <w:p w14:paraId="3E8CE778" w14:textId="77777777" w:rsidR="00DB262B" w:rsidRPr="00BB5007" w:rsidRDefault="00DB262B" w:rsidP="006F4586">
      <w:pPr>
        <w:pStyle w:val="NoSpacing"/>
        <w:jc w:val="both"/>
        <w:rPr>
          <w:b/>
          <w:sz w:val="24"/>
          <w:szCs w:val="24"/>
          <w:lang w:val="es-DO"/>
        </w:rPr>
      </w:pPr>
    </w:p>
    <w:p w14:paraId="3E98CA40" w14:textId="77777777" w:rsidR="006F4586" w:rsidRPr="00BB5007" w:rsidRDefault="006F4586" w:rsidP="006F4586">
      <w:pPr>
        <w:pStyle w:val="NoSpacing"/>
        <w:jc w:val="both"/>
        <w:rPr>
          <w:b/>
          <w:i/>
          <w:sz w:val="24"/>
          <w:szCs w:val="24"/>
          <w:lang w:val="es-DO"/>
        </w:rPr>
      </w:pPr>
      <w:r w:rsidRPr="00BB5007">
        <w:rPr>
          <w:b/>
          <w:i/>
          <w:sz w:val="24"/>
          <w:szCs w:val="24"/>
          <w:lang w:val="es-DO"/>
        </w:rPr>
        <w:t>Implementación efectiva a partir del 1 de enero de 2025</w:t>
      </w:r>
    </w:p>
    <w:p w14:paraId="0693C30F" w14:textId="77777777" w:rsidR="006F4586" w:rsidRPr="00BB5007" w:rsidRDefault="006F4586" w:rsidP="006F4586">
      <w:pPr>
        <w:pStyle w:val="NoSpacing"/>
        <w:jc w:val="both"/>
        <w:rPr>
          <w:sz w:val="24"/>
          <w:szCs w:val="24"/>
          <w:lang w:val="es-DO"/>
        </w:rPr>
      </w:pPr>
    </w:p>
    <w:p w14:paraId="6DAEC6B3" w14:textId="77777777" w:rsidR="006F4586" w:rsidRPr="00BB5007" w:rsidRDefault="006F4586" w:rsidP="006F4586">
      <w:pPr>
        <w:pStyle w:val="NoSpacing"/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Randolph Health proporcionará alivio de la deuda médica a pacientes que sean residentes de Carolina del Norte y cumplan con la presunta </w:t>
      </w:r>
      <w:r w:rsidRPr="0078717A">
        <w:rPr>
          <w:sz w:val="24"/>
          <w:szCs w:val="24"/>
          <w:lang w:val="es-DO"/>
        </w:rPr>
        <w:t xml:space="preserve">elegibilidad </w:t>
      </w:r>
      <w:r w:rsidR="0078717A" w:rsidRPr="0078717A">
        <w:rPr>
          <w:sz w:val="24"/>
          <w:szCs w:val="24"/>
          <w:lang w:val="es-DO"/>
        </w:rPr>
        <w:t>no basada en ingresos</w:t>
      </w:r>
      <w:r w:rsidRPr="0078717A">
        <w:rPr>
          <w:sz w:val="24"/>
          <w:szCs w:val="24"/>
          <w:lang w:val="es-DO"/>
        </w:rPr>
        <w:t xml:space="preserve"> según</w:t>
      </w:r>
      <w:r w:rsidRPr="00BB5007">
        <w:rPr>
          <w:sz w:val="24"/>
          <w:szCs w:val="24"/>
          <w:lang w:val="es-DO"/>
        </w:rPr>
        <w:t xml:space="preserve"> lo definido por el Estado de Carolina del Norte y el Departamento de Salud y Servicios Humanos de Carolina del Norte. Esta política excluirá los servicios cosméticos electivos.</w:t>
      </w:r>
    </w:p>
    <w:p w14:paraId="6509C054" w14:textId="77777777" w:rsidR="00BB27E8" w:rsidRPr="00BB5007" w:rsidRDefault="00BB27E8" w:rsidP="00BB27E8">
      <w:pPr>
        <w:pStyle w:val="NoSpacing"/>
        <w:jc w:val="both"/>
        <w:rPr>
          <w:sz w:val="24"/>
          <w:szCs w:val="24"/>
          <w:lang w:val="es-DO"/>
        </w:rPr>
      </w:pPr>
    </w:p>
    <w:p w14:paraId="422447BC" w14:textId="77777777" w:rsidR="00033DA6" w:rsidRPr="00BB5007" w:rsidRDefault="001C7A1B" w:rsidP="00033DA6">
      <w:pPr>
        <w:pStyle w:val="NoSpacing"/>
        <w:jc w:val="both"/>
        <w:rPr>
          <w:b/>
          <w:bCs/>
          <w:sz w:val="24"/>
          <w:szCs w:val="24"/>
          <w:u w:val="single"/>
          <w:lang w:val="es-DO"/>
        </w:rPr>
      </w:pPr>
      <w:r w:rsidRPr="00BB5007">
        <w:rPr>
          <w:b/>
          <w:bCs/>
          <w:sz w:val="24"/>
          <w:szCs w:val="24"/>
          <w:lang w:val="es-DO"/>
        </w:rPr>
        <w:t>A</w:t>
      </w:r>
      <w:r w:rsidRPr="00BB5007">
        <w:rPr>
          <w:sz w:val="24"/>
          <w:szCs w:val="24"/>
          <w:lang w:val="es-DO"/>
        </w:rPr>
        <w:t>.</w:t>
      </w:r>
      <w:r w:rsidRPr="00BB5007">
        <w:rPr>
          <w:sz w:val="24"/>
          <w:szCs w:val="24"/>
          <w:lang w:val="es-DO"/>
        </w:rPr>
        <w:tab/>
      </w:r>
      <w:r w:rsidR="00261C24" w:rsidRPr="00BB5007">
        <w:rPr>
          <w:b/>
          <w:sz w:val="24"/>
          <w:szCs w:val="24"/>
          <w:u w:val="single"/>
          <w:lang w:val="es-DO"/>
        </w:rPr>
        <w:t>Presunta Elegibilidad No Basada en Ingresos</w:t>
      </w:r>
    </w:p>
    <w:p w14:paraId="04E0BC62" w14:textId="77777777" w:rsidR="00346626" w:rsidRPr="00BB5007" w:rsidRDefault="00346626" w:rsidP="00033DA6">
      <w:pPr>
        <w:pStyle w:val="NoSpacing"/>
        <w:ind w:left="720"/>
        <w:jc w:val="both"/>
        <w:rPr>
          <w:sz w:val="24"/>
          <w:szCs w:val="24"/>
          <w:lang w:val="es-DO"/>
        </w:rPr>
      </w:pPr>
    </w:p>
    <w:p w14:paraId="3CA7C136" w14:textId="77777777" w:rsidR="0089576F" w:rsidRPr="00BB5007" w:rsidRDefault="00261C24" w:rsidP="00346626">
      <w:pPr>
        <w:pStyle w:val="NoSpacing"/>
        <w:numPr>
          <w:ilvl w:val="0"/>
          <w:numId w:val="10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Los pacientes deben cumplir al menos uno de los siguientes criterios para ser elegibles</w:t>
      </w:r>
    </w:p>
    <w:p w14:paraId="0AAC04A5" w14:textId="77777777" w:rsidR="0089576F" w:rsidRPr="00BB5007" w:rsidRDefault="00B5252D" w:rsidP="00346626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Personas</w:t>
      </w:r>
      <w:r w:rsidR="00261C24" w:rsidRPr="00BB5007">
        <w:rPr>
          <w:sz w:val="24"/>
          <w:szCs w:val="24"/>
          <w:lang w:val="es-DO"/>
        </w:rPr>
        <w:t xml:space="preserve"> sin hogar (indigente). </w:t>
      </w:r>
    </w:p>
    <w:p w14:paraId="043AE11F" w14:textId="77777777" w:rsidR="0089576F" w:rsidRPr="00BB5007" w:rsidRDefault="00150321" w:rsidP="00346626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Paciente o niño en su hogar inscrito en Medicaid</w:t>
      </w:r>
    </w:p>
    <w:p w14:paraId="61DB180F" w14:textId="77777777" w:rsidR="00150321" w:rsidRPr="00BB5007" w:rsidRDefault="00150321" w:rsidP="00150321">
      <w:pPr>
        <w:pStyle w:val="NoSpacing"/>
        <w:numPr>
          <w:ilvl w:val="0"/>
          <w:numId w:val="4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Paciente o niño en su hogar inscrito en programas de asistencia pública de ingresos comprobados, como el Programa de Nutrición para Mujeres, Bebés y Niños (WIC) o el programa  de Asistencia  Nutricional Suplementaria (Estampillas de Comida), etc.  </w:t>
      </w:r>
    </w:p>
    <w:p w14:paraId="2D36E153" w14:textId="77777777" w:rsidR="003F6809" w:rsidRPr="00BB5007" w:rsidRDefault="00150321" w:rsidP="00346626">
      <w:pPr>
        <w:pStyle w:val="NoSpacing"/>
        <w:numPr>
          <w:ilvl w:val="0"/>
          <w:numId w:val="4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 Incapacidad mental sin nade que actúe en nombre del paciente. </w:t>
      </w:r>
    </w:p>
    <w:p w14:paraId="2D6EF9E1" w14:textId="77777777" w:rsidR="00B66887" w:rsidRPr="00BB5007" w:rsidRDefault="00B66887" w:rsidP="00B66887">
      <w:pPr>
        <w:pStyle w:val="NoSpacing"/>
        <w:ind w:left="660"/>
        <w:rPr>
          <w:sz w:val="24"/>
          <w:szCs w:val="24"/>
          <w:lang w:val="es-DO"/>
        </w:rPr>
      </w:pPr>
    </w:p>
    <w:p w14:paraId="15750695" w14:textId="77777777" w:rsidR="0089576F" w:rsidRPr="00BB5007" w:rsidRDefault="00150321" w:rsidP="00346626">
      <w:pPr>
        <w:pStyle w:val="NoSpacing"/>
        <w:numPr>
          <w:ilvl w:val="0"/>
          <w:numId w:val="10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A los pacientes se les notificará la elegibilidad de la siguiente manera:</w:t>
      </w:r>
    </w:p>
    <w:p w14:paraId="458A2D70" w14:textId="77777777" w:rsidR="00150321" w:rsidRPr="00BB5007" w:rsidRDefault="00150321" w:rsidP="00346626">
      <w:pPr>
        <w:pStyle w:val="NoSpacing"/>
        <w:numPr>
          <w:ilvl w:val="0"/>
          <w:numId w:val="5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Los servicios que no sean </w:t>
      </w:r>
      <w:r w:rsidR="00DE111B">
        <w:rPr>
          <w:sz w:val="24"/>
          <w:szCs w:val="24"/>
          <w:lang w:val="es-DO"/>
        </w:rPr>
        <w:t>en el</w:t>
      </w:r>
      <w:r w:rsidRPr="00BB5007">
        <w:rPr>
          <w:sz w:val="24"/>
          <w:szCs w:val="24"/>
          <w:lang w:val="es-DO"/>
        </w:rPr>
        <w:t xml:space="preserve"> Departamento de </w:t>
      </w:r>
      <w:r w:rsidR="00DB262B" w:rsidRPr="00BB5007">
        <w:rPr>
          <w:sz w:val="24"/>
          <w:szCs w:val="24"/>
          <w:lang w:val="es-DO"/>
        </w:rPr>
        <w:t>Emergencias</w:t>
      </w:r>
      <w:r w:rsidRPr="00BB5007">
        <w:rPr>
          <w:sz w:val="24"/>
          <w:szCs w:val="24"/>
          <w:lang w:val="es-DO"/>
        </w:rPr>
        <w:t xml:space="preserve"> serán notificados antes del alta. </w:t>
      </w:r>
    </w:p>
    <w:p w14:paraId="60FDFB13" w14:textId="77777777" w:rsidR="00346626" w:rsidRPr="00DE111B" w:rsidRDefault="00DB262B" w:rsidP="00033DA6">
      <w:pPr>
        <w:pStyle w:val="NoSpacing"/>
        <w:numPr>
          <w:ilvl w:val="0"/>
          <w:numId w:val="5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Los servicios </w:t>
      </w:r>
      <w:r w:rsidR="00DE111B">
        <w:rPr>
          <w:sz w:val="24"/>
          <w:szCs w:val="24"/>
          <w:lang w:val="es-DO"/>
        </w:rPr>
        <w:t xml:space="preserve">en el </w:t>
      </w:r>
      <w:r w:rsidRPr="00BB5007">
        <w:rPr>
          <w:sz w:val="24"/>
          <w:szCs w:val="24"/>
          <w:lang w:val="es-DO"/>
        </w:rPr>
        <w:t xml:space="preserve"> Departamento de Emergencias se examinarán lo antes posible y se notificarán lo antes posible pero antes de emitir una factura al paciente</w:t>
      </w:r>
      <w:r w:rsidR="00DE111B">
        <w:rPr>
          <w:sz w:val="24"/>
          <w:szCs w:val="24"/>
          <w:lang w:val="es-DO"/>
        </w:rPr>
        <w:t xml:space="preserve">. </w:t>
      </w:r>
    </w:p>
    <w:p w14:paraId="0A95FC7F" w14:textId="77777777" w:rsidR="00DE111B" w:rsidRDefault="00DE111B" w:rsidP="006F4586">
      <w:pPr>
        <w:pStyle w:val="NoSpacing"/>
        <w:tabs>
          <w:tab w:val="left" w:pos="360"/>
        </w:tabs>
        <w:jc w:val="both"/>
        <w:rPr>
          <w:sz w:val="24"/>
          <w:szCs w:val="24"/>
          <w:lang w:val="es-DO"/>
        </w:rPr>
      </w:pPr>
    </w:p>
    <w:p w14:paraId="37043987" w14:textId="77777777" w:rsidR="006F4586" w:rsidRPr="00BB5007" w:rsidRDefault="00DB262B" w:rsidP="006F4586">
      <w:pPr>
        <w:pStyle w:val="NoSpacing"/>
        <w:tabs>
          <w:tab w:val="left" w:pos="360"/>
        </w:tabs>
        <w:jc w:val="both"/>
        <w:rPr>
          <w:b/>
          <w:bCs/>
          <w:i/>
          <w:sz w:val="24"/>
          <w:szCs w:val="24"/>
          <w:lang w:val="es-DO"/>
        </w:rPr>
      </w:pPr>
      <w:r w:rsidRPr="00BB5007">
        <w:rPr>
          <w:b/>
          <w:bCs/>
          <w:i/>
          <w:sz w:val="24"/>
          <w:szCs w:val="24"/>
          <w:lang w:val="es-DO"/>
        </w:rPr>
        <w:lastRenderedPageBreak/>
        <w:t xml:space="preserve">Implementación </w:t>
      </w:r>
      <w:r w:rsidR="006F4586" w:rsidRPr="00BB5007">
        <w:rPr>
          <w:b/>
          <w:bCs/>
          <w:i/>
          <w:sz w:val="24"/>
          <w:szCs w:val="24"/>
          <w:lang w:val="es-DO"/>
        </w:rPr>
        <w:t>efectiva a partir del 1 de julio de 2025</w:t>
      </w:r>
    </w:p>
    <w:p w14:paraId="381FBC05" w14:textId="77777777" w:rsidR="006F4586" w:rsidRPr="00BB5007" w:rsidRDefault="006F4586" w:rsidP="006F4586">
      <w:pPr>
        <w:pStyle w:val="NoSpacing"/>
        <w:tabs>
          <w:tab w:val="left" w:pos="360"/>
        </w:tabs>
        <w:jc w:val="both"/>
        <w:rPr>
          <w:b/>
          <w:bCs/>
          <w:sz w:val="24"/>
          <w:szCs w:val="24"/>
          <w:u w:val="single"/>
          <w:lang w:val="es-DO"/>
        </w:rPr>
      </w:pPr>
    </w:p>
    <w:p w14:paraId="347CECB3" w14:textId="77777777" w:rsidR="009C4A3B" w:rsidRPr="00BB5007" w:rsidRDefault="006F4586" w:rsidP="001C7A1B">
      <w:pPr>
        <w:pStyle w:val="NoSpacing"/>
        <w:tabs>
          <w:tab w:val="left" w:pos="360"/>
        </w:tabs>
        <w:jc w:val="both"/>
        <w:rPr>
          <w:b/>
          <w:bCs/>
          <w:sz w:val="24"/>
          <w:szCs w:val="24"/>
          <w:u w:val="single"/>
          <w:lang w:val="es-DO"/>
        </w:rPr>
      </w:pPr>
      <w:r w:rsidRPr="00BB5007">
        <w:rPr>
          <w:b/>
          <w:bCs/>
          <w:sz w:val="24"/>
          <w:szCs w:val="24"/>
          <w:u w:val="single"/>
          <w:lang w:val="es-DO"/>
        </w:rPr>
        <w:t xml:space="preserve">B. </w:t>
      </w:r>
      <w:r w:rsidRPr="00BB5007">
        <w:rPr>
          <w:b/>
          <w:bCs/>
          <w:sz w:val="24"/>
          <w:szCs w:val="24"/>
          <w:u w:val="single"/>
          <w:lang w:val="es-DO"/>
        </w:rPr>
        <w:tab/>
      </w:r>
      <w:r w:rsidR="00DB262B" w:rsidRPr="00BB5007">
        <w:rPr>
          <w:b/>
          <w:bCs/>
          <w:sz w:val="24"/>
          <w:szCs w:val="24"/>
          <w:u w:val="single"/>
          <w:lang w:val="es-DO"/>
        </w:rPr>
        <w:t xml:space="preserve"> Previa Asistencia</w:t>
      </w:r>
      <w:r w:rsidRPr="00BB5007">
        <w:rPr>
          <w:b/>
          <w:bCs/>
          <w:sz w:val="24"/>
          <w:szCs w:val="24"/>
          <w:u w:val="single"/>
          <w:lang w:val="es-DO"/>
        </w:rPr>
        <w:t xml:space="preserve"> </w:t>
      </w:r>
      <w:r w:rsidR="00866C95">
        <w:rPr>
          <w:b/>
          <w:bCs/>
          <w:sz w:val="24"/>
          <w:szCs w:val="24"/>
          <w:u w:val="single"/>
          <w:lang w:val="es-DO"/>
        </w:rPr>
        <w:t>Financiera p</w:t>
      </w:r>
      <w:r w:rsidR="00866C95" w:rsidRPr="00BB5007">
        <w:rPr>
          <w:b/>
          <w:bCs/>
          <w:sz w:val="24"/>
          <w:szCs w:val="24"/>
          <w:u w:val="single"/>
          <w:lang w:val="es-DO"/>
        </w:rPr>
        <w:t xml:space="preserve">ara Deudas Médicas </w:t>
      </w:r>
    </w:p>
    <w:p w14:paraId="3791638C" w14:textId="77777777" w:rsidR="00F90C4E" w:rsidRPr="00BB5007" w:rsidRDefault="00B25373" w:rsidP="00F90C4E">
      <w:pPr>
        <w:pStyle w:val="NoSpacing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ab/>
      </w:r>
    </w:p>
    <w:p w14:paraId="5FA4C780" w14:textId="77777777" w:rsidR="006F4586" w:rsidRPr="00BB5007" w:rsidRDefault="006F4586" w:rsidP="006F4586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Randolph Health, con la ayuda del socio proveedor, Undue Medical Debt, identificará y aliviará/donará toda la deuda médica no pagada</w:t>
      </w:r>
      <w:r w:rsidR="00DE111B">
        <w:rPr>
          <w:sz w:val="24"/>
          <w:szCs w:val="24"/>
          <w:lang w:val="es-DO"/>
        </w:rPr>
        <w:t xml:space="preserve"> de</w:t>
      </w:r>
      <w:r w:rsidRPr="00BB5007">
        <w:rPr>
          <w:sz w:val="24"/>
          <w:szCs w:val="24"/>
          <w:lang w:val="es-DO"/>
        </w:rPr>
        <w:t xml:space="preserve"> hasta el 1 de octubre de 2021, para los residentes de Carolina del Norte que actualmente están inscritos en Medicaid (incluida la cobertura de planificación familiar). Esta deuda aliviada</w:t>
      </w:r>
      <w:r w:rsidR="00DB262B" w:rsidRPr="00BB5007">
        <w:rPr>
          <w:sz w:val="24"/>
          <w:szCs w:val="24"/>
          <w:lang w:val="es-DO"/>
        </w:rPr>
        <w:t xml:space="preserve"> se reclasificará como ayuda </w:t>
      </w:r>
      <w:r w:rsidRPr="00BB5007">
        <w:rPr>
          <w:sz w:val="24"/>
          <w:szCs w:val="24"/>
          <w:lang w:val="es-DO"/>
        </w:rPr>
        <w:t>caritativa. Este alivio incluirá cualquier deuda restante de planes de pago previamente acordados por el paciente.</w:t>
      </w:r>
    </w:p>
    <w:p w14:paraId="4F866AF1" w14:textId="77777777" w:rsidR="00B25373" w:rsidRPr="00BB5007" w:rsidRDefault="00B25373" w:rsidP="003F4C40">
      <w:pPr>
        <w:pStyle w:val="NoSpacing"/>
        <w:ind w:left="360"/>
        <w:jc w:val="both"/>
        <w:rPr>
          <w:sz w:val="24"/>
          <w:szCs w:val="24"/>
          <w:lang w:val="es-DO"/>
        </w:rPr>
      </w:pPr>
    </w:p>
    <w:p w14:paraId="72C17989" w14:textId="77777777" w:rsidR="00F90C4E" w:rsidRPr="00BB5007" w:rsidRDefault="006F4586" w:rsidP="00346626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Randolph Health evaluará a todos los pacientes </w:t>
      </w:r>
      <w:r w:rsidR="00B42BD4" w:rsidRPr="00BB5007">
        <w:rPr>
          <w:sz w:val="24"/>
          <w:szCs w:val="24"/>
          <w:lang w:val="es-DO"/>
        </w:rPr>
        <w:t xml:space="preserve">al </w:t>
      </w:r>
      <w:r w:rsidRPr="00BB5007">
        <w:rPr>
          <w:sz w:val="24"/>
          <w:szCs w:val="24"/>
          <w:lang w:val="es-DO"/>
        </w:rPr>
        <w:t xml:space="preserve"> momento del servicio que s</w:t>
      </w:r>
      <w:r w:rsidR="00B42BD4" w:rsidRPr="00BB5007">
        <w:rPr>
          <w:sz w:val="24"/>
          <w:szCs w:val="24"/>
          <w:lang w:val="es-DO"/>
        </w:rPr>
        <w:t xml:space="preserve">on </w:t>
      </w:r>
      <w:r w:rsidRPr="00BB5007">
        <w:rPr>
          <w:sz w:val="24"/>
          <w:szCs w:val="24"/>
          <w:lang w:val="es-DO"/>
        </w:rPr>
        <w:t>residentes de Carolina del Norte y</w:t>
      </w:r>
      <w:r w:rsidR="00B42BD4" w:rsidRPr="00BB5007">
        <w:rPr>
          <w:sz w:val="24"/>
          <w:szCs w:val="24"/>
          <w:lang w:val="es-DO"/>
        </w:rPr>
        <w:t xml:space="preserve"> estén inscritos en Medicaid para</w:t>
      </w:r>
      <w:r w:rsidRPr="00BB5007">
        <w:rPr>
          <w:sz w:val="24"/>
          <w:szCs w:val="24"/>
          <w:lang w:val="es-DO"/>
        </w:rPr>
        <w:t xml:space="preserve"> deudas médicas pasadas dentro de 60 días del alta ho</w:t>
      </w:r>
      <w:r w:rsidR="00B42BD4" w:rsidRPr="00BB5007">
        <w:rPr>
          <w:sz w:val="24"/>
          <w:szCs w:val="24"/>
          <w:lang w:val="es-DO"/>
        </w:rPr>
        <w:t xml:space="preserve">spitalaria del paciente o de la visita </w:t>
      </w:r>
      <w:r w:rsidRPr="00BB5007">
        <w:rPr>
          <w:sz w:val="24"/>
          <w:szCs w:val="24"/>
          <w:lang w:val="es-DO"/>
        </w:rPr>
        <w:t>ambulat</w:t>
      </w:r>
      <w:r w:rsidR="00B42BD4" w:rsidRPr="00BB5007">
        <w:rPr>
          <w:sz w:val="24"/>
          <w:szCs w:val="24"/>
          <w:lang w:val="es-DO"/>
        </w:rPr>
        <w:t>oria</w:t>
      </w:r>
      <w:r w:rsidRPr="00BB5007">
        <w:rPr>
          <w:sz w:val="24"/>
          <w:szCs w:val="24"/>
          <w:lang w:val="es-DO"/>
        </w:rPr>
        <w:t xml:space="preserve"> </w:t>
      </w:r>
      <w:r w:rsidR="00B42BD4" w:rsidRPr="00BB5007">
        <w:rPr>
          <w:sz w:val="24"/>
          <w:szCs w:val="24"/>
          <w:lang w:val="es-DO"/>
        </w:rPr>
        <w:t xml:space="preserve">al </w:t>
      </w:r>
      <w:r w:rsidRPr="00BB5007">
        <w:rPr>
          <w:sz w:val="24"/>
          <w:szCs w:val="24"/>
          <w:lang w:val="es-DO"/>
        </w:rPr>
        <w:t xml:space="preserve">hospital y reclasificará cualquier deuda existente del paciente como </w:t>
      </w:r>
      <w:r w:rsidR="00B42BD4" w:rsidRPr="00BB5007">
        <w:rPr>
          <w:sz w:val="24"/>
          <w:szCs w:val="24"/>
          <w:lang w:val="es-DO"/>
        </w:rPr>
        <w:t xml:space="preserve">ayuda </w:t>
      </w:r>
      <w:r w:rsidRPr="00BB5007">
        <w:rPr>
          <w:sz w:val="24"/>
          <w:szCs w:val="24"/>
          <w:lang w:val="es-DO"/>
        </w:rPr>
        <w:t xml:space="preserve"> cari</w:t>
      </w:r>
      <w:r w:rsidR="00B42BD4" w:rsidRPr="00BB5007">
        <w:rPr>
          <w:sz w:val="24"/>
          <w:szCs w:val="24"/>
          <w:lang w:val="es-DO"/>
        </w:rPr>
        <w:t>tativa</w:t>
      </w:r>
      <w:r w:rsidRPr="00BB5007">
        <w:rPr>
          <w:sz w:val="24"/>
          <w:szCs w:val="24"/>
          <w:lang w:val="es-DO"/>
        </w:rPr>
        <w:t xml:space="preserve">.   </w:t>
      </w:r>
    </w:p>
    <w:p w14:paraId="036082BF" w14:textId="77777777" w:rsidR="00F90C4E" w:rsidRPr="00BB5007" w:rsidRDefault="00F90C4E" w:rsidP="00F90C4E">
      <w:pPr>
        <w:pStyle w:val="NoSpacing"/>
        <w:rPr>
          <w:sz w:val="24"/>
          <w:szCs w:val="24"/>
          <w:lang w:val="es-DO"/>
        </w:rPr>
      </w:pPr>
    </w:p>
    <w:p w14:paraId="2884842C" w14:textId="77777777" w:rsidR="00F90C4E" w:rsidRPr="00BB5007" w:rsidRDefault="006F4586" w:rsidP="00346626">
      <w:pPr>
        <w:pStyle w:val="NoSpacing"/>
        <w:numPr>
          <w:ilvl w:val="0"/>
          <w:numId w:val="2"/>
        </w:numPr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Randolph Health aliviará toda la deuda médica considerada incobrable que se remonta al 1 de octubre de 2021, para cualquier residente de Carolina del Norte con ingresos iguales o inferiores al 350% de</w:t>
      </w:r>
      <w:r w:rsidR="00866C95">
        <w:rPr>
          <w:sz w:val="24"/>
          <w:szCs w:val="24"/>
          <w:lang w:val="es-DO"/>
        </w:rPr>
        <w:t xml:space="preserve"> </w:t>
      </w:r>
      <w:r w:rsidRPr="00BB5007">
        <w:rPr>
          <w:sz w:val="24"/>
          <w:szCs w:val="24"/>
          <w:lang w:val="es-DO"/>
        </w:rPr>
        <w:t>l</w:t>
      </w:r>
      <w:r w:rsidR="00866C95">
        <w:rPr>
          <w:sz w:val="24"/>
          <w:szCs w:val="24"/>
          <w:lang w:val="es-DO"/>
        </w:rPr>
        <w:t>os</w:t>
      </w:r>
      <w:r w:rsidRPr="00BB5007">
        <w:rPr>
          <w:sz w:val="24"/>
          <w:szCs w:val="24"/>
          <w:lang w:val="es-DO"/>
        </w:rPr>
        <w:t xml:space="preserve"> Nivel</w:t>
      </w:r>
      <w:r w:rsidR="00866C95">
        <w:rPr>
          <w:sz w:val="24"/>
          <w:szCs w:val="24"/>
          <w:lang w:val="es-DO"/>
        </w:rPr>
        <w:t>es</w:t>
      </w:r>
      <w:r w:rsidRPr="00BB5007">
        <w:rPr>
          <w:sz w:val="24"/>
          <w:szCs w:val="24"/>
          <w:lang w:val="es-DO"/>
        </w:rPr>
        <w:t xml:space="preserve"> Federal</w:t>
      </w:r>
      <w:r w:rsidR="00866C95">
        <w:rPr>
          <w:sz w:val="24"/>
          <w:szCs w:val="24"/>
          <w:lang w:val="es-DO"/>
        </w:rPr>
        <w:t>es</w:t>
      </w:r>
      <w:r w:rsidRPr="00BB5007">
        <w:rPr>
          <w:sz w:val="24"/>
          <w:szCs w:val="24"/>
          <w:lang w:val="es-DO"/>
        </w:rPr>
        <w:t xml:space="preserve"> de Pobreza o para quienes la deuda total supere el 5% de los ingresos anuales. La deuda se considerará incobrable tras intentos infructuosos de cobro (es decir, </w:t>
      </w:r>
      <w:r w:rsidR="00B42BD4" w:rsidRPr="00BB5007">
        <w:rPr>
          <w:sz w:val="24"/>
          <w:szCs w:val="24"/>
          <w:lang w:val="es-DO"/>
        </w:rPr>
        <w:t>sin pagar</w:t>
      </w:r>
      <w:r w:rsidRPr="00BB5007">
        <w:rPr>
          <w:sz w:val="24"/>
          <w:szCs w:val="24"/>
          <w:lang w:val="es-DO"/>
        </w:rPr>
        <w:t xml:space="preserve"> en su totalidad sin que se haya establecido ningún plan de pago) durante al menos dos años desde la fecha de la primera factura enviada</w:t>
      </w:r>
      <w:r w:rsidR="00B42BD4" w:rsidRPr="00BB5007">
        <w:rPr>
          <w:sz w:val="24"/>
          <w:szCs w:val="24"/>
          <w:lang w:val="es-DO"/>
        </w:rPr>
        <w:t xml:space="preserve"> al paciente y no exista ninguna apelación vigente </w:t>
      </w:r>
      <w:r w:rsidRPr="00BB5007">
        <w:rPr>
          <w:sz w:val="24"/>
          <w:szCs w:val="24"/>
          <w:lang w:val="es-DO"/>
        </w:rPr>
        <w:t>con una aseguradora por esta deuda.</w:t>
      </w:r>
      <w:r w:rsidRPr="00BB5007">
        <w:rPr>
          <w:sz w:val="24"/>
          <w:szCs w:val="24"/>
          <w:lang w:val="es-DO"/>
        </w:rPr>
        <w:tab/>
      </w:r>
    </w:p>
    <w:p w14:paraId="7ECF5AF5" w14:textId="77777777" w:rsidR="00680E67" w:rsidRPr="00BB5007" w:rsidRDefault="00680E67" w:rsidP="009C4A3B">
      <w:pPr>
        <w:pStyle w:val="NoSpacing"/>
        <w:jc w:val="both"/>
        <w:rPr>
          <w:sz w:val="24"/>
          <w:szCs w:val="24"/>
          <w:lang w:val="es-DO"/>
        </w:rPr>
      </w:pPr>
    </w:p>
    <w:p w14:paraId="73E15413" w14:textId="77777777" w:rsidR="00680E67" w:rsidRPr="00BB5007" w:rsidRDefault="006F4586" w:rsidP="00346626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Se aliviarán los saldos pendientes asociados a planes de pago en los que los pacientes hayan </w:t>
      </w:r>
      <w:r w:rsidR="001E2539">
        <w:rPr>
          <w:sz w:val="24"/>
          <w:szCs w:val="24"/>
          <w:lang w:val="es-DO"/>
        </w:rPr>
        <w:t>hecho</w:t>
      </w:r>
      <w:r w:rsidRPr="00BB5007">
        <w:rPr>
          <w:sz w:val="24"/>
          <w:szCs w:val="24"/>
          <w:lang w:val="es-DO"/>
        </w:rPr>
        <w:t xml:space="preserve"> pagos durante más de 36 meses.</w:t>
      </w:r>
    </w:p>
    <w:p w14:paraId="26634C79" w14:textId="77777777" w:rsidR="00A2398C" w:rsidRPr="00BB5007" w:rsidRDefault="00A2398C" w:rsidP="00346626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Otros planes de pago vigentes se limi</w:t>
      </w:r>
      <w:r w:rsidR="001E2539">
        <w:rPr>
          <w:sz w:val="24"/>
          <w:szCs w:val="24"/>
          <w:lang w:val="es-DO"/>
        </w:rPr>
        <w:t xml:space="preserve">tarán a 36 meses sin cambios a </w:t>
      </w:r>
      <w:r w:rsidRPr="00BB5007">
        <w:rPr>
          <w:sz w:val="24"/>
          <w:szCs w:val="24"/>
          <w:lang w:val="es-DO"/>
        </w:rPr>
        <w:t xml:space="preserve">la cantidad de los pagos mensuales. </w:t>
      </w:r>
    </w:p>
    <w:p w14:paraId="4A798344" w14:textId="77777777" w:rsidR="006B61CD" w:rsidRDefault="006F4586" w:rsidP="00A2398C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Se informará a los pacientes en un plazo de 30 días tras el alivio/donación de la deuda.</w:t>
      </w:r>
    </w:p>
    <w:p w14:paraId="32ADA238" w14:textId="77777777" w:rsidR="001E2539" w:rsidRPr="00BB5007" w:rsidRDefault="001E2539" w:rsidP="001E2539">
      <w:pPr>
        <w:pStyle w:val="NoSpacing"/>
        <w:ind w:left="1800"/>
        <w:jc w:val="both"/>
        <w:rPr>
          <w:sz w:val="24"/>
          <w:szCs w:val="24"/>
          <w:lang w:val="es-DO"/>
        </w:rPr>
      </w:pPr>
    </w:p>
    <w:p w14:paraId="4A350201" w14:textId="77777777" w:rsidR="006B61CD" w:rsidRPr="00BB5007" w:rsidRDefault="00A2398C" w:rsidP="006B61CD">
      <w:pPr>
        <w:pStyle w:val="NoSpacing"/>
        <w:keepNext/>
        <w:rPr>
          <w:b/>
          <w:i/>
          <w:iCs/>
          <w:sz w:val="24"/>
          <w:szCs w:val="24"/>
          <w:lang w:val="es-DO"/>
        </w:rPr>
      </w:pPr>
      <w:r w:rsidRPr="00BB5007">
        <w:rPr>
          <w:b/>
          <w:i/>
          <w:iCs/>
          <w:sz w:val="24"/>
          <w:szCs w:val="24"/>
          <w:lang w:val="es-DO"/>
        </w:rPr>
        <w:lastRenderedPageBreak/>
        <w:t>Implementación</w:t>
      </w:r>
      <w:r w:rsidR="006B61CD" w:rsidRPr="00BB5007">
        <w:rPr>
          <w:b/>
          <w:i/>
          <w:iCs/>
          <w:sz w:val="24"/>
          <w:szCs w:val="24"/>
          <w:lang w:val="es-DO"/>
        </w:rPr>
        <w:t xml:space="preserve"> efectiva a partir del 1 de enero de 2026</w:t>
      </w:r>
    </w:p>
    <w:p w14:paraId="6E9ABB06" w14:textId="77777777" w:rsidR="000F76BD" w:rsidRPr="00BB5007" w:rsidRDefault="000F76BD" w:rsidP="000F76BD">
      <w:pPr>
        <w:pStyle w:val="NoSpacing"/>
        <w:keepNext/>
        <w:rPr>
          <w:b/>
          <w:sz w:val="24"/>
          <w:szCs w:val="24"/>
          <w:lang w:val="es-DO"/>
        </w:rPr>
      </w:pPr>
    </w:p>
    <w:p w14:paraId="4105CD24" w14:textId="77777777" w:rsidR="000F76BD" w:rsidRPr="00BB5007" w:rsidRDefault="00AA3C5D" w:rsidP="000F76BD">
      <w:pPr>
        <w:pStyle w:val="NoSpacing"/>
        <w:keepNext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 xml:space="preserve">A. </w:t>
      </w:r>
      <w:r w:rsidR="00866C95">
        <w:rPr>
          <w:b/>
          <w:sz w:val="24"/>
          <w:szCs w:val="24"/>
          <w:lang w:val="es-DO"/>
        </w:rPr>
        <w:t>E</w:t>
      </w:r>
      <w:r w:rsidR="00A2398C" w:rsidRPr="00BB5007">
        <w:rPr>
          <w:b/>
          <w:sz w:val="24"/>
          <w:szCs w:val="24"/>
          <w:lang w:val="es-DO"/>
        </w:rPr>
        <w:t>legibilidad Presuntiva</w:t>
      </w:r>
      <w:r w:rsidR="006B61CD" w:rsidRPr="00BB5007">
        <w:rPr>
          <w:b/>
          <w:sz w:val="24"/>
          <w:szCs w:val="24"/>
          <w:lang w:val="es-DO"/>
        </w:rPr>
        <w:t xml:space="preserve"> </w:t>
      </w:r>
      <w:r w:rsidR="00866C95" w:rsidRPr="00BB5007">
        <w:rPr>
          <w:b/>
          <w:sz w:val="24"/>
          <w:szCs w:val="24"/>
          <w:lang w:val="es-DO"/>
        </w:rPr>
        <w:t>Basada En Los Ingresos</w:t>
      </w:r>
    </w:p>
    <w:p w14:paraId="169BB094" w14:textId="77777777" w:rsidR="000F76BD" w:rsidRPr="00BB5007" w:rsidRDefault="000F76BD" w:rsidP="000F76BD">
      <w:pPr>
        <w:pStyle w:val="NoSpacing"/>
        <w:keepNext/>
        <w:rPr>
          <w:b/>
          <w:sz w:val="24"/>
          <w:szCs w:val="24"/>
          <w:lang w:val="es-DO"/>
        </w:rPr>
      </w:pPr>
    </w:p>
    <w:p w14:paraId="6DD1D0B7" w14:textId="77777777" w:rsidR="000F76BD" w:rsidRPr="00BB5007" w:rsidRDefault="006B61CD" w:rsidP="000F76BD">
      <w:pPr>
        <w:pStyle w:val="NoSpacing"/>
        <w:keepNext/>
        <w:numPr>
          <w:ilvl w:val="0"/>
          <w:numId w:val="12"/>
        </w:numPr>
        <w:rPr>
          <w:bCs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>Randolph Health considerará a los pacientes presuntamente elegibles para asistencia financiera sin documentación de recursos o ingresos si el ingreso familiar está en o por debajo del 300% de</w:t>
      </w:r>
      <w:r w:rsidR="00866C95">
        <w:rPr>
          <w:bCs/>
          <w:sz w:val="24"/>
          <w:szCs w:val="24"/>
          <w:lang w:val="es-DO"/>
        </w:rPr>
        <w:t xml:space="preserve"> los</w:t>
      </w:r>
      <w:r w:rsidRPr="00BB5007">
        <w:rPr>
          <w:bCs/>
          <w:sz w:val="24"/>
          <w:szCs w:val="24"/>
          <w:lang w:val="es-DO"/>
        </w:rPr>
        <w:t xml:space="preserve"> Nivel</w:t>
      </w:r>
      <w:r w:rsidR="00866C95">
        <w:rPr>
          <w:bCs/>
          <w:sz w:val="24"/>
          <w:szCs w:val="24"/>
          <w:lang w:val="es-DO"/>
        </w:rPr>
        <w:t>es</w:t>
      </w:r>
      <w:r w:rsidRPr="00BB5007">
        <w:rPr>
          <w:bCs/>
          <w:sz w:val="24"/>
          <w:szCs w:val="24"/>
          <w:lang w:val="es-DO"/>
        </w:rPr>
        <w:t xml:space="preserve"> Federal</w:t>
      </w:r>
      <w:r w:rsidR="00866C95">
        <w:rPr>
          <w:bCs/>
          <w:sz w:val="24"/>
          <w:szCs w:val="24"/>
          <w:lang w:val="es-DO"/>
        </w:rPr>
        <w:t>es</w:t>
      </w:r>
      <w:r w:rsidRPr="00BB5007">
        <w:rPr>
          <w:bCs/>
          <w:sz w:val="24"/>
          <w:szCs w:val="24"/>
          <w:lang w:val="es-DO"/>
        </w:rPr>
        <w:t xml:space="preserve"> de Pobreza.</w:t>
      </w:r>
    </w:p>
    <w:p w14:paraId="2540EA1A" w14:textId="77777777" w:rsidR="00AB3F4F" w:rsidRPr="00BB5007" w:rsidRDefault="00AB3F4F" w:rsidP="00AB3F4F">
      <w:pPr>
        <w:pStyle w:val="NoSpacing"/>
        <w:keepNext/>
        <w:ind w:left="600"/>
        <w:rPr>
          <w:bCs/>
          <w:sz w:val="24"/>
          <w:szCs w:val="24"/>
          <w:lang w:val="es-DO"/>
        </w:rPr>
      </w:pPr>
    </w:p>
    <w:p w14:paraId="4661B765" w14:textId="77777777" w:rsidR="00D55773" w:rsidRPr="00BB5007" w:rsidRDefault="006B61CD" w:rsidP="00D55773">
      <w:pPr>
        <w:pStyle w:val="NoSpacing"/>
        <w:keepNext/>
        <w:numPr>
          <w:ilvl w:val="0"/>
          <w:numId w:val="12"/>
        </w:numPr>
        <w:rPr>
          <w:sz w:val="24"/>
          <w:lang w:val="es-DO"/>
        </w:rPr>
      </w:pPr>
      <w:r w:rsidRPr="00BB5007">
        <w:rPr>
          <w:bCs/>
          <w:sz w:val="24"/>
          <w:szCs w:val="24"/>
          <w:lang w:val="es-DO"/>
        </w:rPr>
        <w:t xml:space="preserve">Antes de que el paciente reciba </w:t>
      </w:r>
      <w:r w:rsidR="00A2398C" w:rsidRPr="00BB5007">
        <w:rPr>
          <w:bCs/>
          <w:sz w:val="24"/>
          <w:szCs w:val="24"/>
          <w:lang w:val="es-DO"/>
        </w:rPr>
        <w:t>el cobro</w:t>
      </w:r>
      <w:r w:rsidRPr="00BB5007">
        <w:rPr>
          <w:bCs/>
          <w:sz w:val="24"/>
          <w:szCs w:val="24"/>
          <w:lang w:val="es-DO"/>
        </w:rPr>
        <w:t xml:space="preserve">, se le notificará </w:t>
      </w:r>
      <w:r w:rsidR="00A2398C" w:rsidRPr="00BB5007">
        <w:rPr>
          <w:bCs/>
          <w:sz w:val="24"/>
          <w:szCs w:val="24"/>
          <w:lang w:val="es-DO"/>
        </w:rPr>
        <w:t xml:space="preserve">si </w:t>
      </w:r>
      <w:r w:rsidR="00866C95">
        <w:rPr>
          <w:bCs/>
          <w:sz w:val="24"/>
          <w:szCs w:val="24"/>
          <w:lang w:val="es-DO"/>
        </w:rPr>
        <w:t>califica</w:t>
      </w:r>
      <w:r w:rsidR="00A2398C" w:rsidRPr="00BB5007">
        <w:rPr>
          <w:bCs/>
          <w:sz w:val="24"/>
          <w:szCs w:val="24"/>
          <w:lang w:val="es-DO"/>
        </w:rPr>
        <w:t xml:space="preserve">  para </w:t>
      </w:r>
      <w:r w:rsidR="00A2398C" w:rsidRPr="00BB5007">
        <w:rPr>
          <w:sz w:val="24"/>
          <w:szCs w:val="24"/>
          <w:lang w:val="es-DO"/>
        </w:rPr>
        <w:t>elegibilidad presuntiva basada en los ingresos</w:t>
      </w:r>
    </w:p>
    <w:p w14:paraId="2DC57044" w14:textId="77777777" w:rsidR="00D55773" w:rsidRPr="00BB5007" w:rsidRDefault="00D55773" w:rsidP="00D55773">
      <w:pPr>
        <w:pStyle w:val="NoSpacing"/>
        <w:keepNext/>
        <w:rPr>
          <w:b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 xml:space="preserve"> </w:t>
      </w:r>
    </w:p>
    <w:p w14:paraId="0A709AA0" w14:textId="77777777" w:rsidR="000F76BD" w:rsidRPr="00BB5007" w:rsidRDefault="00A2398C" w:rsidP="00D55773">
      <w:pPr>
        <w:pStyle w:val="NoSpacing"/>
        <w:keepNext/>
        <w:rPr>
          <w:b/>
          <w:i/>
          <w:iCs/>
          <w:sz w:val="24"/>
          <w:szCs w:val="24"/>
          <w:lang w:val="es-DO"/>
        </w:rPr>
      </w:pPr>
      <w:r w:rsidRPr="00BB5007">
        <w:rPr>
          <w:b/>
          <w:i/>
          <w:iCs/>
          <w:sz w:val="24"/>
          <w:szCs w:val="24"/>
          <w:lang w:val="es-DO"/>
        </w:rPr>
        <w:t xml:space="preserve">Implementación </w:t>
      </w:r>
      <w:r w:rsidR="006B61CD" w:rsidRPr="00BB5007">
        <w:rPr>
          <w:b/>
          <w:i/>
          <w:iCs/>
          <w:sz w:val="24"/>
          <w:szCs w:val="24"/>
          <w:lang w:val="es-DO"/>
        </w:rPr>
        <w:t>efectiva a partir del 1 de julio de 2026</w:t>
      </w:r>
    </w:p>
    <w:p w14:paraId="1CE8AF43" w14:textId="77777777" w:rsidR="006B61CD" w:rsidRPr="00BB5007" w:rsidRDefault="006B61CD" w:rsidP="00D55773">
      <w:pPr>
        <w:pStyle w:val="NoSpacing"/>
        <w:keepNext/>
        <w:rPr>
          <w:bCs/>
          <w:sz w:val="24"/>
          <w:szCs w:val="24"/>
          <w:lang w:val="es-DO"/>
        </w:rPr>
      </w:pPr>
    </w:p>
    <w:p w14:paraId="25986D97" w14:textId="77777777" w:rsidR="00D55773" w:rsidRPr="00BB5007" w:rsidRDefault="00C259D7" w:rsidP="00D55773">
      <w:pPr>
        <w:pStyle w:val="NoSpacing"/>
        <w:keepNext/>
        <w:rPr>
          <w:bCs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 xml:space="preserve">A. </w:t>
      </w:r>
      <w:r w:rsidR="00A2398C" w:rsidRPr="00BB5007">
        <w:rPr>
          <w:bCs/>
          <w:sz w:val="24"/>
          <w:szCs w:val="24"/>
          <w:lang w:val="es-DO"/>
        </w:rPr>
        <w:t>Previa Asistencia Financiera para Deudas Médicas</w:t>
      </w:r>
    </w:p>
    <w:p w14:paraId="63B101EF" w14:textId="77777777" w:rsidR="00D55773" w:rsidRPr="00BB5007" w:rsidRDefault="00D55773" w:rsidP="00D55773">
      <w:pPr>
        <w:pStyle w:val="NoSpacing"/>
        <w:keepNext/>
        <w:rPr>
          <w:bCs/>
          <w:sz w:val="24"/>
          <w:szCs w:val="24"/>
          <w:lang w:val="es-DO"/>
        </w:rPr>
      </w:pPr>
    </w:p>
    <w:p w14:paraId="18A423FD" w14:textId="77777777" w:rsidR="00D55773" w:rsidRPr="00BB5007" w:rsidRDefault="006B61CD" w:rsidP="00D55773">
      <w:pPr>
        <w:pStyle w:val="NoSpacing"/>
        <w:keepNext/>
        <w:numPr>
          <w:ilvl w:val="0"/>
          <w:numId w:val="13"/>
        </w:numPr>
        <w:rPr>
          <w:b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 xml:space="preserve">Randolph Health aliviará toda la deuda médica considerada incobrable que se remonte al 1 de octubre de 2021, para cualquier residente de Carolina del Norte con ingresos iguales o inferiores al 350% </w:t>
      </w:r>
      <w:r w:rsidR="00866C95">
        <w:rPr>
          <w:bCs/>
          <w:sz w:val="24"/>
          <w:szCs w:val="24"/>
          <w:lang w:val="es-DO"/>
        </w:rPr>
        <w:t>de los</w:t>
      </w:r>
      <w:r w:rsidRPr="00BB5007">
        <w:rPr>
          <w:bCs/>
          <w:sz w:val="24"/>
          <w:szCs w:val="24"/>
          <w:lang w:val="es-DO"/>
        </w:rPr>
        <w:t xml:space="preserve"> </w:t>
      </w:r>
      <w:r w:rsidR="00A02F80" w:rsidRPr="00BB5007">
        <w:rPr>
          <w:bCs/>
          <w:sz w:val="24"/>
          <w:szCs w:val="24"/>
          <w:lang w:val="es-DO"/>
        </w:rPr>
        <w:t>Nivel</w:t>
      </w:r>
      <w:r w:rsidR="00866C95">
        <w:rPr>
          <w:bCs/>
          <w:sz w:val="24"/>
          <w:szCs w:val="24"/>
          <w:lang w:val="es-DO"/>
        </w:rPr>
        <w:t>es</w:t>
      </w:r>
      <w:r w:rsidR="00A02F80" w:rsidRPr="00BB5007">
        <w:rPr>
          <w:bCs/>
          <w:sz w:val="24"/>
          <w:szCs w:val="24"/>
          <w:lang w:val="es-DO"/>
        </w:rPr>
        <w:t xml:space="preserve"> Federal</w:t>
      </w:r>
      <w:r w:rsidR="00866C95">
        <w:rPr>
          <w:bCs/>
          <w:sz w:val="24"/>
          <w:szCs w:val="24"/>
          <w:lang w:val="es-DO"/>
        </w:rPr>
        <w:t>es</w:t>
      </w:r>
      <w:r w:rsidR="00A02F80" w:rsidRPr="00BB5007">
        <w:rPr>
          <w:bCs/>
          <w:sz w:val="24"/>
          <w:szCs w:val="24"/>
          <w:lang w:val="es-DO"/>
        </w:rPr>
        <w:t xml:space="preserve"> de Pobreza</w:t>
      </w:r>
      <w:r w:rsidRPr="00BB5007">
        <w:rPr>
          <w:bCs/>
          <w:sz w:val="24"/>
          <w:szCs w:val="24"/>
          <w:lang w:val="es-DO"/>
        </w:rPr>
        <w:t xml:space="preserve">, o para quienes la deuda supere el 5% de </w:t>
      </w:r>
      <w:r w:rsidR="00A02F80" w:rsidRPr="00BB5007">
        <w:rPr>
          <w:bCs/>
          <w:sz w:val="24"/>
          <w:szCs w:val="24"/>
          <w:lang w:val="es-DO"/>
        </w:rPr>
        <w:t>sus</w:t>
      </w:r>
      <w:r w:rsidRPr="00BB5007">
        <w:rPr>
          <w:bCs/>
          <w:sz w:val="24"/>
          <w:szCs w:val="24"/>
          <w:lang w:val="es-DO"/>
        </w:rPr>
        <w:t xml:space="preserve"> ingresos anuales.</w:t>
      </w:r>
    </w:p>
    <w:p w14:paraId="6C05658B" w14:textId="77777777" w:rsidR="00264EB4" w:rsidRPr="00BB5007" w:rsidRDefault="00264EB4" w:rsidP="00264EB4">
      <w:pPr>
        <w:pStyle w:val="NoSpacing"/>
        <w:keepNext/>
        <w:ind w:left="2160"/>
        <w:rPr>
          <w:bCs/>
          <w:sz w:val="24"/>
          <w:szCs w:val="24"/>
          <w:lang w:val="es-DO"/>
        </w:rPr>
      </w:pPr>
    </w:p>
    <w:p w14:paraId="26156E06" w14:textId="77777777" w:rsidR="00264EB4" w:rsidRPr="00BB5007" w:rsidRDefault="00A02F80" w:rsidP="00A02F80">
      <w:pPr>
        <w:pStyle w:val="NoSpacing"/>
        <w:keepNext/>
        <w:numPr>
          <w:ilvl w:val="0"/>
          <w:numId w:val="14"/>
        </w:numPr>
        <w:rPr>
          <w:b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 xml:space="preserve">Calificarán </w:t>
      </w:r>
      <w:r w:rsidR="006B61CD" w:rsidRPr="00BB5007">
        <w:rPr>
          <w:bCs/>
          <w:sz w:val="24"/>
          <w:szCs w:val="24"/>
          <w:lang w:val="es-DO"/>
        </w:rPr>
        <w:t xml:space="preserve"> si los ingresos en el momento del análisis de los datos cumplen el </w:t>
      </w:r>
      <w:r w:rsidRPr="00BB5007">
        <w:rPr>
          <w:bCs/>
          <w:sz w:val="24"/>
          <w:szCs w:val="24"/>
          <w:lang w:val="es-DO"/>
        </w:rPr>
        <w:t>con</w:t>
      </w:r>
      <w:r w:rsidRPr="00BB5007">
        <w:rPr>
          <w:b/>
          <w:sz w:val="24"/>
          <w:szCs w:val="24"/>
          <w:lang w:val="es-DO"/>
        </w:rPr>
        <w:t xml:space="preserve"> </w:t>
      </w:r>
      <w:r w:rsidR="006B61CD" w:rsidRPr="00BB5007">
        <w:rPr>
          <w:bCs/>
          <w:sz w:val="24"/>
          <w:szCs w:val="24"/>
          <w:lang w:val="es-DO"/>
        </w:rPr>
        <w:t>umbral de ingresos</w:t>
      </w:r>
    </w:p>
    <w:p w14:paraId="1F2A9EA5" w14:textId="77777777" w:rsidR="00264EB4" w:rsidRPr="00BB5007" w:rsidRDefault="006B61CD" w:rsidP="00264EB4">
      <w:pPr>
        <w:pStyle w:val="NoSpacing"/>
        <w:keepNext/>
        <w:numPr>
          <w:ilvl w:val="0"/>
          <w:numId w:val="14"/>
        </w:numPr>
        <w:rPr>
          <w:b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>La deuda se considera incobrable si no se ha pagado en su totalidad y no existe ningún plan de pago después de 2 años de in</w:t>
      </w:r>
      <w:r w:rsidR="00A02F80" w:rsidRPr="00BB5007">
        <w:rPr>
          <w:bCs/>
          <w:sz w:val="24"/>
          <w:szCs w:val="24"/>
          <w:lang w:val="es-DO"/>
        </w:rPr>
        <w:t>tentos de cobro, y no hay ninguna apelación activa a algún pagador</w:t>
      </w:r>
      <w:r w:rsidRPr="00BB5007">
        <w:rPr>
          <w:bCs/>
          <w:sz w:val="24"/>
          <w:szCs w:val="24"/>
          <w:lang w:val="es-DO"/>
        </w:rPr>
        <w:t>.</w:t>
      </w:r>
    </w:p>
    <w:p w14:paraId="4114D7D7" w14:textId="77777777" w:rsidR="006B61CD" w:rsidRPr="00BB5007" w:rsidRDefault="006B61CD" w:rsidP="00A02F80">
      <w:pPr>
        <w:pStyle w:val="NoSpacing"/>
        <w:keepNext/>
        <w:numPr>
          <w:ilvl w:val="0"/>
          <w:numId w:val="14"/>
        </w:numPr>
        <w:rPr>
          <w:bCs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>Para los pacientes cuyos ingresos sean igua</w:t>
      </w:r>
      <w:r w:rsidR="00866C95">
        <w:rPr>
          <w:bCs/>
          <w:sz w:val="24"/>
          <w:szCs w:val="24"/>
          <w:lang w:val="es-DO"/>
        </w:rPr>
        <w:t>les o inferiores al 300% de los</w:t>
      </w:r>
      <w:r w:rsidR="00A02F80" w:rsidRPr="00BB5007">
        <w:rPr>
          <w:bCs/>
          <w:sz w:val="24"/>
          <w:szCs w:val="24"/>
          <w:lang w:val="es-DO"/>
        </w:rPr>
        <w:t xml:space="preserve"> Nivel</w:t>
      </w:r>
      <w:r w:rsidR="00866C95">
        <w:rPr>
          <w:bCs/>
          <w:sz w:val="24"/>
          <w:szCs w:val="24"/>
          <w:lang w:val="es-DO"/>
        </w:rPr>
        <w:t>es</w:t>
      </w:r>
      <w:r w:rsidR="00A02F80" w:rsidRPr="00BB5007">
        <w:rPr>
          <w:bCs/>
          <w:sz w:val="24"/>
          <w:szCs w:val="24"/>
          <w:lang w:val="es-DO"/>
        </w:rPr>
        <w:t xml:space="preserve"> Federal</w:t>
      </w:r>
      <w:r w:rsidR="00866C95">
        <w:rPr>
          <w:bCs/>
          <w:sz w:val="24"/>
          <w:szCs w:val="24"/>
          <w:lang w:val="es-DO"/>
        </w:rPr>
        <w:t>es</w:t>
      </w:r>
      <w:r w:rsidR="00A02F80" w:rsidRPr="00BB5007">
        <w:rPr>
          <w:bCs/>
          <w:sz w:val="24"/>
          <w:szCs w:val="24"/>
          <w:lang w:val="es-DO"/>
        </w:rPr>
        <w:t xml:space="preserve"> de Pobreza</w:t>
      </w:r>
      <w:r w:rsidRPr="00BB5007">
        <w:rPr>
          <w:bCs/>
          <w:sz w:val="24"/>
          <w:szCs w:val="24"/>
          <w:lang w:val="es-DO"/>
        </w:rPr>
        <w:t>, se aliviarán los planes de pago en los que hayan pagado más de 36 meses.</w:t>
      </w:r>
    </w:p>
    <w:p w14:paraId="57A919E9" w14:textId="77777777" w:rsidR="006B61CD" w:rsidRPr="00BB5007" w:rsidRDefault="006B61CD" w:rsidP="006B61CD">
      <w:pPr>
        <w:pStyle w:val="NoSpacing"/>
        <w:keepNext/>
        <w:ind w:left="2520"/>
        <w:rPr>
          <w:bCs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>Los planes de pago existentes para plazos inferiores a 36 meses se limitarán a 36 meses sin cambios</w:t>
      </w:r>
      <w:r w:rsidR="00A02F80" w:rsidRPr="00BB5007">
        <w:rPr>
          <w:bCs/>
          <w:sz w:val="24"/>
          <w:szCs w:val="24"/>
          <w:lang w:val="es-DO"/>
        </w:rPr>
        <w:t xml:space="preserve"> a la cantidad del pago mensual</w:t>
      </w:r>
      <w:r w:rsidRPr="00BB5007">
        <w:rPr>
          <w:bCs/>
          <w:sz w:val="24"/>
          <w:szCs w:val="24"/>
          <w:lang w:val="es-DO"/>
        </w:rPr>
        <w:t>.</w:t>
      </w:r>
    </w:p>
    <w:p w14:paraId="0D53F270" w14:textId="77777777" w:rsidR="00D13DC7" w:rsidRPr="00BB5007" w:rsidRDefault="00D13DC7" w:rsidP="009976FA">
      <w:pPr>
        <w:pStyle w:val="NoSpacing"/>
        <w:keepNext/>
        <w:rPr>
          <w:b/>
          <w:sz w:val="24"/>
          <w:szCs w:val="24"/>
          <w:u w:val="single"/>
          <w:lang w:val="es-DO"/>
        </w:rPr>
      </w:pPr>
    </w:p>
    <w:p w14:paraId="688870A7" w14:textId="77777777" w:rsidR="009976FA" w:rsidRPr="00BB5007" w:rsidRDefault="009976FA" w:rsidP="009976FA">
      <w:pPr>
        <w:pStyle w:val="NoSpacing"/>
        <w:keepNext/>
        <w:rPr>
          <w:b/>
          <w:sz w:val="24"/>
          <w:szCs w:val="24"/>
          <w:u w:val="single"/>
          <w:lang w:val="es-DO"/>
        </w:rPr>
      </w:pPr>
    </w:p>
    <w:p w14:paraId="555698D3" w14:textId="77777777" w:rsidR="006B61CD" w:rsidRPr="00BB5007" w:rsidRDefault="006B61CD" w:rsidP="00AA3C5D">
      <w:pPr>
        <w:pStyle w:val="NoSpacing"/>
        <w:jc w:val="both"/>
        <w:rPr>
          <w:b/>
          <w:bCs/>
          <w:sz w:val="24"/>
          <w:szCs w:val="24"/>
          <w:u w:val="single"/>
          <w:lang w:val="es-DO"/>
        </w:rPr>
      </w:pPr>
      <w:r w:rsidRPr="00BB5007">
        <w:rPr>
          <w:b/>
          <w:bCs/>
          <w:sz w:val="24"/>
          <w:szCs w:val="24"/>
          <w:u w:val="single"/>
          <w:lang w:val="es-DO"/>
        </w:rPr>
        <w:t>Prácticas de cobro</w:t>
      </w:r>
    </w:p>
    <w:p w14:paraId="7631AE8A" w14:textId="77777777" w:rsidR="00AA3C5D" w:rsidRPr="00BB5007" w:rsidRDefault="00AA3C5D" w:rsidP="00AA3C5D">
      <w:pPr>
        <w:pStyle w:val="NoSpacing"/>
        <w:jc w:val="both"/>
        <w:rPr>
          <w:b/>
          <w:bCs/>
          <w:sz w:val="24"/>
          <w:szCs w:val="24"/>
          <w:lang w:val="es-DO"/>
        </w:rPr>
      </w:pPr>
      <w:r w:rsidRPr="00BB5007">
        <w:rPr>
          <w:b/>
          <w:bCs/>
          <w:sz w:val="24"/>
          <w:szCs w:val="24"/>
          <w:lang w:val="es-DO"/>
        </w:rPr>
        <w:tab/>
      </w:r>
    </w:p>
    <w:p w14:paraId="6B01E6CE" w14:textId="77777777" w:rsidR="00AA3C5D" w:rsidRPr="00BB5007" w:rsidRDefault="00AA3C5D" w:rsidP="00AA3C5D">
      <w:pPr>
        <w:pStyle w:val="NoSpacing"/>
        <w:ind w:left="720"/>
        <w:jc w:val="both"/>
        <w:rPr>
          <w:sz w:val="24"/>
          <w:szCs w:val="24"/>
          <w:lang w:val="es-DO"/>
        </w:rPr>
      </w:pPr>
    </w:p>
    <w:p w14:paraId="430064A5" w14:textId="77777777" w:rsidR="006B61CD" w:rsidRPr="00A676F3" w:rsidRDefault="006B61CD" w:rsidP="00A676F3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A676F3">
        <w:rPr>
          <w:sz w:val="24"/>
          <w:szCs w:val="24"/>
          <w:lang w:val="es-DO"/>
        </w:rPr>
        <w:t>A partir del 1 de enero</w:t>
      </w:r>
      <w:r w:rsidR="00BB5007" w:rsidRPr="00A676F3">
        <w:rPr>
          <w:sz w:val="24"/>
          <w:szCs w:val="24"/>
          <w:lang w:val="es-DO"/>
        </w:rPr>
        <w:t xml:space="preserve"> de 2025, la Política Caritativa</w:t>
      </w:r>
      <w:r w:rsidRPr="00A676F3">
        <w:rPr>
          <w:sz w:val="24"/>
          <w:szCs w:val="24"/>
          <w:lang w:val="es-DO"/>
        </w:rPr>
        <w:t xml:space="preserve"> de Randolph Health in</w:t>
      </w:r>
      <w:r w:rsidR="00A676F3">
        <w:rPr>
          <w:sz w:val="24"/>
          <w:szCs w:val="24"/>
          <w:lang w:val="es-DO"/>
        </w:rPr>
        <w:t>co</w:t>
      </w:r>
      <w:r w:rsidR="00E644B9">
        <w:rPr>
          <w:sz w:val="24"/>
          <w:szCs w:val="24"/>
          <w:lang w:val="es-DO"/>
        </w:rPr>
        <w:t>rpora la    nueva escala variabl</w:t>
      </w:r>
      <w:r w:rsidR="00A676F3">
        <w:rPr>
          <w:sz w:val="24"/>
          <w:szCs w:val="24"/>
          <w:lang w:val="es-DO"/>
        </w:rPr>
        <w:t>e de honorarios</w:t>
      </w:r>
      <w:r w:rsidRPr="00A676F3">
        <w:rPr>
          <w:sz w:val="24"/>
          <w:szCs w:val="24"/>
          <w:lang w:val="es-DO"/>
        </w:rPr>
        <w:t xml:space="preserve"> para la Asistencia</w:t>
      </w:r>
      <w:r w:rsidR="00A676F3">
        <w:rPr>
          <w:sz w:val="24"/>
          <w:szCs w:val="24"/>
          <w:lang w:val="es-DO"/>
        </w:rPr>
        <w:t xml:space="preserve"> Financiera basada en los Niveles Federales de Pobreza </w:t>
      </w:r>
      <w:r w:rsidRPr="00A676F3">
        <w:rPr>
          <w:sz w:val="24"/>
          <w:szCs w:val="24"/>
          <w:lang w:val="es-DO"/>
        </w:rPr>
        <w:t xml:space="preserve"> y según lo indicado por las directrices del Estado.</w:t>
      </w:r>
    </w:p>
    <w:p w14:paraId="0121F8DE" w14:textId="77777777" w:rsidR="00BB4277" w:rsidRPr="00BB5007" w:rsidRDefault="00BB4277" w:rsidP="00BB4277">
      <w:pPr>
        <w:pStyle w:val="ListParagraph"/>
        <w:rPr>
          <w:sz w:val="24"/>
          <w:lang w:val="es-DO"/>
        </w:rPr>
      </w:pPr>
    </w:p>
    <w:tbl>
      <w:tblPr>
        <w:tblStyle w:val="TableGrid"/>
        <w:tblW w:w="9060" w:type="dxa"/>
        <w:tblInd w:w="378" w:type="dxa"/>
        <w:tblLook w:val="04A0" w:firstRow="1" w:lastRow="0" w:firstColumn="1" w:lastColumn="0" w:noHBand="0" w:noVBand="1"/>
      </w:tblPr>
      <w:tblGrid>
        <w:gridCol w:w="1630"/>
        <w:gridCol w:w="7430"/>
      </w:tblGrid>
      <w:tr w:rsidR="00BB4277" w:rsidRPr="00B5252D" w14:paraId="32BA7C3D" w14:textId="77777777" w:rsidTr="006F4586">
        <w:trPr>
          <w:trHeight w:val="330"/>
        </w:trPr>
        <w:tc>
          <w:tcPr>
            <w:tcW w:w="1497" w:type="dxa"/>
            <w:shd w:val="clear" w:color="auto" w:fill="D9D9D9" w:themeFill="background1" w:themeFillShade="D9"/>
          </w:tcPr>
          <w:p w14:paraId="0F5517D8" w14:textId="77777777" w:rsidR="00BB4277" w:rsidRPr="00BB5007" w:rsidRDefault="00BB4277" w:rsidP="00A676F3">
            <w:pPr>
              <w:widowControl/>
              <w:ind w:left="360"/>
              <w:jc w:val="center"/>
              <w:rPr>
                <w:rFonts w:eastAsiaTheme="minorHAnsi"/>
                <w:b/>
                <w:color w:val="000000"/>
                <w:sz w:val="24"/>
                <w:lang w:val="es-DO"/>
              </w:rPr>
            </w:pPr>
            <w:r w:rsidRPr="00BB5007">
              <w:rPr>
                <w:rFonts w:eastAsiaTheme="minorHAnsi"/>
                <w:b/>
                <w:color w:val="000000"/>
                <w:sz w:val="24"/>
                <w:lang w:val="es-DO"/>
              </w:rPr>
              <w:t>D</w:t>
            </w:r>
            <w:r w:rsidR="00A676F3">
              <w:rPr>
                <w:rFonts w:eastAsiaTheme="minorHAnsi"/>
                <w:b/>
                <w:color w:val="000000"/>
                <w:sz w:val="24"/>
                <w:lang w:val="es-DO"/>
              </w:rPr>
              <w:t>escuento</w:t>
            </w:r>
          </w:p>
        </w:tc>
        <w:tc>
          <w:tcPr>
            <w:tcW w:w="7563" w:type="dxa"/>
            <w:shd w:val="clear" w:color="auto" w:fill="D9D9D9" w:themeFill="background1" w:themeFillShade="D9"/>
          </w:tcPr>
          <w:p w14:paraId="4E807FFA" w14:textId="77777777" w:rsidR="00BB4277" w:rsidRPr="00BB5007" w:rsidRDefault="00E12310" w:rsidP="00A676F3">
            <w:pPr>
              <w:widowControl/>
              <w:ind w:left="360"/>
              <w:jc w:val="center"/>
              <w:rPr>
                <w:rFonts w:eastAsiaTheme="minorHAnsi"/>
                <w:b/>
                <w:color w:val="000000"/>
                <w:sz w:val="24"/>
                <w:lang w:val="es-DO"/>
              </w:rPr>
            </w:pPr>
            <w:r>
              <w:rPr>
                <w:rFonts w:eastAsiaTheme="minorHAnsi"/>
                <w:b/>
                <w:color w:val="000000"/>
                <w:sz w:val="24"/>
                <w:lang w:val="es-DO"/>
              </w:rPr>
              <w:t>Niveles Federales de P</w:t>
            </w:r>
            <w:r w:rsidR="00A676F3" w:rsidRPr="00A676F3">
              <w:rPr>
                <w:rFonts w:eastAsiaTheme="minorHAnsi"/>
                <w:b/>
                <w:color w:val="000000"/>
                <w:sz w:val="24"/>
                <w:lang w:val="es-DO"/>
              </w:rPr>
              <w:t xml:space="preserve">obreza del año </w:t>
            </w:r>
            <w:r w:rsidR="00A676F3">
              <w:rPr>
                <w:rFonts w:eastAsiaTheme="minorHAnsi"/>
                <w:b/>
                <w:color w:val="000000"/>
                <w:sz w:val="24"/>
                <w:lang w:val="es-DO"/>
              </w:rPr>
              <w:t>actual</w:t>
            </w:r>
            <w:r w:rsidR="00A676F3" w:rsidRPr="00A676F3">
              <w:rPr>
                <w:rFonts w:eastAsiaTheme="minorHAnsi"/>
                <w:b/>
                <w:color w:val="000000"/>
                <w:sz w:val="24"/>
                <w:lang w:val="es-DO"/>
              </w:rPr>
              <w:t xml:space="preserve"> para el tamaño de la familia</w:t>
            </w:r>
          </w:p>
        </w:tc>
      </w:tr>
      <w:tr w:rsidR="00BB4277" w:rsidRPr="00B5252D" w14:paraId="40F7302C" w14:textId="77777777" w:rsidTr="006F4586">
        <w:trPr>
          <w:trHeight w:val="440"/>
        </w:trPr>
        <w:tc>
          <w:tcPr>
            <w:tcW w:w="1497" w:type="dxa"/>
          </w:tcPr>
          <w:p w14:paraId="373D0D39" w14:textId="77777777" w:rsidR="00BB4277" w:rsidRPr="00A676F3" w:rsidRDefault="00BB4277" w:rsidP="00BB4277">
            <w:pPr>
              <w:widowControl/>
              <w:ind w:left="360"/>
              <w:jc w:val="both"/>
              <w:rPr>
                <w:rFonts w:eastAsiaTheme="minorHAnsi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>100%</w:t>
            </w:r>
          </w:p>
        </w:tc>
        <w:tc>
          <w:tcPr>
            <w:tcW w:w="7563" w:type="dxa"/>
          </w:tcPr>
          <w:p w14:paraId="3C310E1D" w14:textId="77777777" w:rsidR="006B61CD" w:rsidRPr="00A676F3" w:rsidRDefault="006B61CD" w:rsidP="00A676F3">
            <w:pPr>
              <w:widowControl/>
              <w:ind w:left="360"/>
              <w:jc w:val="both"/>
              <w:rPr>
                <w:rFonts w:eastAsiaTheme="minorHAnsi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 xml:space="preserve">Los ingresos familiares son inferiores o iguales al 200% del </w:t>
            </w:r>
            <w:r w:rsidR="00A676F3"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>Nivel Federal de Pobreza (FPL)</w:t>
            </w:r>
          </w:p>
        </w:tc>
      </w:tr>
      <w:tr w:rsidR="00BB4277" w:rsidRPr="00B5252D" w14:paraId="496373FB" w14:textId="77777777" w:rsidTr="00A676F3">
        <w:trPr>
          <w:trHeight w:val="368"/>
        </w:trPr>
        <w:tc>
          <w:tcPr>
            <w:tcW w:w="1497" w:type="dxa"/>
          </w:tcPr>
          <w:p w14:paraId="65FFE651" w14:textId="77777777" w:rsidR="00BB4277" w:rsidRPr="00A676F3" w:rsidRDefault="00BB4277" w:rsidP="00BB4277">
            <w:pPr>
              <w:widowControl/>
              <w:ind w:left="360"/>
              <w:jc w:val="both"/>
              <w:rPr>
                <w:rFonts w:eastAsiaTheme="minorHAnsi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>75%</w:t>
            </w:r>
          </w:p>
        </w:tc>
        <w:tc>
          <w:tcPr>
            <w:tcW w:w="7563" w:type="dxa"/>
          </w:tcPr>
          <w:p w14:paraId="2533A591" w14:textId="77777777" w:rsidR="006B61CD" w:rsidRPr="00A676F3" w:rsidRDefault="006B61CD" w:rsidP="00A676F3">
            <w:pPr>
              <w:widowControl/>
              <w:ind w:left="360"/>
              <w:jc w:val="both"/>
              <w:rPr>
                <w:rFonts w:eastAsiaTheme="minorHAnsi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 xml:space="preserve">Ingresos familiares entre el 201% y el 250% del </w:t>
            </w:r>
            <w:r w:rsidR="00A676F3"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>Nivel Federal de Pobreza</w:t>
            </w:r>
          </w:p>
        </w:tc>
      </w:tr>
      <w:tr w:rsidR="00BB4277" w:rsidRPr="00B5252D" w14:paraId="3D78A7BB" w14:textId="77777777" w:rsidTr="00A676F3">
        <w:trPr>
          <w:trHeight w:val="350"/>
        </w:trPr>
        <w:tc>
          <w:tcPr>
            <w:tcW w:w="1497" w:type="dxa"/>
          </w:tcPr>
          <w:p w14:paraId="076548E4" w14:textId="77777777" w:rsidR="00BB4277" w:rsidRPr="00A676F3" w:rsidRDefault="00BB4277" w:rsidP="00BB4277">
            <w:pPr>
              <w:widowControl/>
              <w:ind w:left="360"/>
              <w:jc w:val="both"/>
              <w:rPr>
                <w:rFonts w:eastAsiaTheme="minorHAnsi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/>
                <w:color w:val="000000"/>
                <w:sz w:val="23"/>
                <w:szCs w:val="23"/>
                <w:lang w:val="es-DO"/>
              </w:rPr>
              <w:t>50%</w:t>
            </w:r>
          </w:p>
        </w:tc>
        <w:tc>
          <w:tcPr>
            <w:tcW w:w="7563" w:type="dxa"/>
          </w:tcPr>
          <w:p w14:paraId="53AA0B19" w14:textId="77777777" w:rsidR="006B61CD" w:rsidRPr="00A676F3" w:rsidRDefault="006B61CD" w:rsidP="00BB4277">
            <w:pPr>
              <w:widowControl/>
              <w:ind w:left="360"/>
              <w:jc w:val="both"/>
              <w:rPr>
                <w:rFonts w:eastAsiaTheme="minorHAnsi" w:cs="Times New Roman"/>
                <w:color w:val="000000"/>
                <w:sz w:val="23"/>
                <w:szCs w:val="23"/>
                <w:lang w:val="es-DO"/>
              </w:rPr>
            </w:pPr>
            <w:r w:rsidRPr="00A676F3">
              <w:rPr>
                <w:rFonts w:eastAsiaTheme="minorHAnsi" w:cs="Times New Roman"/>
                <w:color w:val="000000"/>
                <w:sz w:val="23"/>
                <w:szCs w:val="23"/>
                <w:lang w:val="es-DO"/>
              </w:rPr>
              <w:t>Ingresos familiares</w:t>
            </w:r>
            <w:r w:rsidR="00A676F3" w:rsidRPr="00A676F3">
              <w:rPr>
                <w:rFonts w:eastAsiaTheme="minorHAnsi" w:cs="Times New Roman"/>
                <w:color w:val="000000"/>
                <w:sz w:val="23"/>
                <w:szCs w:val="23"/>
                <w:lang w:val="es-DO"/>
              </w:rPr>
              <w:t xml:space="preserve"> entre el 250% y el 300% del Nivel Federal de Pobreza</w:t>
            </w:r>
          </w:p>
        </w:tc>
      </w:tr>
    </w:tbl>
    <w:p w14:paraId="58C78F1E" w14:textId="77777777" w:rsidR="00BB4277" w:rsidRPr="00BB5007" w:rsidRDefault="00BB4277" w:rsidP="00BB4277">
      <w:pPr>
        <w:pStyle w:val="NoSpacing"/>
        <w:ind w:left="720"/>
        <w:jc w:val="both"/>
        <w:rPr>
          <w:sz w:val="24"/>
          <w:szCs w:val="24"/>
          <w:lang w:val="es-DO"/>
        </w:rPr>
      </w:pPr>
    </w:p>
    <w:p w14:paraId="7ACA5819" w14:textId="77777777" w:rsidR="00AA3C5D" w:rsidRPr="00BB5007" w:rsidRDefault="00AA3C5D" w:rsidP="00AA3C5D">
      <w:pPr>
        <w:pStyle w:val="ListParagraph"/>
        <w:rPr>
          <w:sz w:val="24"/>
          <w:lang w:val="es-DO"/>
        </w:rPr>
      </w:pPr>
    </w:p>
    <w:p w14:paraId="3FA2ADFE" w14:textId="77777777" w:rsidR="006B61CD" w:rsidRPr="00E644B9" w:rsidRDefault="006B61CD" w:rsidP="00E644B9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DO"/>
        </w:rPr>
      </w:pPr>
      <w:r w:rsidRPr="00E644B9">
        <w:rPr>
          <w:sz w:val="24"/>
          <w:szCs w:val="24"/>
          <w:lang w:val="es-DO"/>
        </w:rPr>
        <w:t xml:space="preserve">A los pacientes </w:t>
      </w:r>
      <w:r w:rsidR="00E644B9">
        <w:rPr>
          <w:sz w:val="24"/>
          <w:szCs w:val="24"/>
          <w:lang w:val="es-DO"/>
        </w:rPr>
        <w:t xml:space="preserve">sin seguro en </w:t>
      </w:r>
      <w:r w:rsidR="00E12310">
        <w:rPr>
          <w:sz w:val="24"/>
          <w:szCs w:val="24"/>
          <w:lang w:val="es-DO"/>
        </w:rPr>
        <w:t>el Departamento de E</w:t>
      </w:r>
      <w:r w:rsidR="00E644B9">
        <w:rPr>
          <w:sz w:val="24"/>
          <w:szCs w:val="24"/>
          <w:lang w:val="es-DO"/>
        </w:rPr>
        <w:t>mer</w:t>
      </w:r>
      <w:r w:rsidRPr="00E644B9">
        <w:rPr>
          <w:sz w:val="24"/>
          <w:szCs w:val="24"/>
          <w:lang w:val="es-DO"/>
        </w:rPr>
        <w:t>gencias no se les pedirá que paguen más</w:t>
      </w:r>
      <w:r w:rsidR="00E644B9">
        <w:rPr>
          <w:sz w:val="24"/>
          <w:szCs w:val="24"/>
          <w:lang w:val="es-DO"/>
        </w:rPr>
        <w:t xml:space="preserve"> de la cantidad</w:t>
      </w:r>
      <w:r w:rsidRPr="00E644B9">
        <w:rPr>
          <w:sz w:val="24"/>
          <w:szCs w:val="24"/>
          <w:lang w:val="es-DO"/>
        </w:rPr>
        <w:t xml:space="preserve"> </w:t>
      </w:r>
      <w:r w:rsidR="00E644B9">
        <w:rPr>
          <w:sz w:val="24"/>
          <w:szCs w:val="24"/>
          <w:lang w:val="es-DO"/>
        </w:rPr>
        <w:t>adeudada según la escala variable de honorarios de</w:t>
      </w:r>
      <w:r w:rsidR="00E12310">
        <w:rPr>
          <w:sz w:val="24"/>
          <w:szCs w:val="24"/>
          <w:lang w:val="es-DO"/>
        </w:rPr>
        <w:t xml:space="preserve"> los</w:t>
      </w:r>
      <w:r w:rsidR="00E644B9">
        <w:rPr>
          <w:sz w:val="24"/>
          <w:szCs w:val="24"/>
          <w:lang w:val="es-DO"/>
        </w:rPr>
        <w:t xml:space="preserve"> nivel</w:t>
      </w:r>
      <w:r w:rsidR="00E12310">
        <w:rPr>
          <w:sz w:val="24"/>
          <w:szCs w:val="24"/>
          <w:lang w:val="es-DO"/>
        </w:rPr>
        <w:t>es</w:t>
      </w:r>
      <w:r w:rsidR="00E644B9">
        <w:rPr>
          <w:sz w:val="24"/>
          <w:szCs w:val="24"/>
          <w:lang w:val="es-DO"/>
        </w:rPr>
        <w:t xml:space="preserve"> de pobreza federal</w:t>
      </w:r>
      <w:r w:rsidR="00E12310">
        <w:rPr>
          <w:sz w:val="24"/>
          <w:szCs w:val="24"/>
          <w:lang w:val="es-DO"/>
        </w:rPr>
        <w:t>es</w:t>
      </w:r>
      <w:r w:rsidR="00E644B9">
        <w:rPr>
          <w:sz w:val="24"/>
          <w:szCs w:val="24"/>
          <w:lang w:val="es-DO"/>
        </w:rPr>
        <w:t xml:space="preserve"> </w:t>
      </w:r>
      <w:r w:rsidRPr="00E644B9">
        <w:rPr>
          <w:sz w:val="24"/>
          <w:szCs w:val="24"/>
          <w:lang w:val="es-DO"/>
        </w:rPr>
        <w:t>o 35 $. A los asegurados no se les pedirá que paguen más que los copagos de su plan.</w:t>
      </w:r>
    </w:p>
    <w:p w14:paraId="5EF9CD4D" w14:textId="77777777" w:rsidR="0046212C" w:rsidRPr="00BB5007" w:rsidRDefault="0046212C" w:rsidP="0046212C">
      <w:pPr>
        <w:pStyle w:val="NoSpacing"/>
        <w:jc w:val="both"/>
        <w:rPr>
          <w:sz w:val="24"/>
          <w:szCs w:val="24"/>
          <w:lang w:val="es-DO"/>
        </w:rPr>
      </w:pPr>
    </w:p>
    <w:p w14:paraId="3045EF9F" w14:textId="77777777" w:rsidR="00AA3C5D" w:rsidRPr="00E644B9" w:rsidRDefault="006B61CD" w:rsidP="00E644B9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DO"/>
        </w:rPr>
      </w:pPr>
      <w:r w:rsidRPr="00E644B9">
        <w:rPr>
          <w:sz w:val="24"/>
          <w:lang w:val="es-DO"/>
        </w:rPr>
        <w:t>A partir de enero</w:t>
      </w:r>
      <w:r w:rsidR="00E644B9">
        <w:rPr>
          <w:sz w:val="24"/>
          <w:lang w:val="es-DO"/>
        </w:rPr>
        <w:t xml:space="preserve"> </w:t>
      </w:r>
      <w:r w:rsidR="00E644B9" w:rsidRPr="00E644B9">
        <w:rPr>
          <w:sz w:val="24"/>
          <w:lang w:val="es-DO"/>
        </w:rPr>
        <w:t xml:space="preserve">1 </w:t>
      </w:r>
      <w:r w:rsidRPr="00E644B9">
        <w:rPr>
          <w:sz w:val="24"/>
          <w:lang w:val="es-DO"/>
        </w:rPr>
        <w:t xml:space="preserve"> de 2025, Randolph Health o sus socios de cobro ofrecerán un plan de pago que no exceda una duración de 36 meses con pagos mensuales no superiores al 5% de los i</w:t>
      </w:r>
      <w:r w:rsidR="00810C49">
        <w:rPr>
          <w:sz w:val="24"/>
          <w:lang w:val="es-DO"/>
        </w:rPr>
        <w:t>ngresos mensuales del hogar</w:t>
      </w:r>
      <w:r w:rsidRPr="00E644B9">
        <w:rPr>
          <w:sz w:val="24"/>
          <w:lang w:val="es-DO"/>
        </w:rPr>
        <w:t xml:space="preserve"> </w:t>
      </w:r>
      <w:r w:rsidRPr="00810C49">
        <w:rPr>
          <w:sz w:val="24"/>
          <w:lang w:val="es-DO"/>
        </w:rPr>
        <w:t>(ver</w:t>
      </w:r>
      <w:r w:rsidR="00810C49" w:rsidRPr="00810C49">
        <w:rPr>
          <w:sz w:val="24"/>
          <w:lang w:val="es-DO"/>
        </w:rPr>
        <w:t xml:space="preserve"> planilla</w:t>
      </w:r>
      <w:r w:rsidRPr="00810C49">
        <w:rPr>
          <w:sz w:val="24"/>
          <w:lang w:val="es-DO"/>
        </w:rPr>
        <w:t>,</w:t>
      </w:r>
      <w:r w:rsidRPr="00E644B9">
        <w:rPr>
          <w:sz w:val="24"/>
          <w:lang w:val="es-DO"/>
        </w:rPr>
        <w:t xml:space="preserve"> Apéndice A)</w:t>
      </w:r>
      <w:r w:rsidR="00810C49">
        <w:rPr>
          <w:sz w:val="24"/>
          <w:lang w:val="es-DO"/>
        </w:rPr>
        <w:t>.</w:t>
      </w:r>
    </w:p>
    <w:p w14:paraId="060668C7" w14:textId="77777777" w:rsidR="006B61CD" w:rsidRPr="00BB5007" w:rsidRDefault="006B61CD" w:rsidP="00AA3C5D">
      <w:pPr>
        <w:pStyle w:val="ListParagraph"/>
        <w:rPr>
          <w:sz w:val="24"/>
          <w:lang w:val="es-DO"/>
        </w:rPr>
      </w:pPr>
    </w:p>
    <w:p w14:paraId="3EEE4EBE" w14:textId="77777777" w:rsidR="00AA3C5D" w:rsidRDefault="00E644B9" w:rsidP="00AA3C5D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A</w:t>
      </w:r>
      <w:r w:rsidRPr="00BB5007">
        <w:rPr>
          <w:sz w:val="24"/>
          <w:szCs w:val="24"/>
          <w:lang w:val="es-DO"/>
        </w:rPr>
        <w:t xml:space="preserve">ctualmente </w:t>
      </w:r>
      <w:r w:rsidR="00AA3C5D" w:rsidRPr="00BB5007">
        <w:rPr>
          <w:sz w:val="24"/>
          <w:szCs w:val="24"/>
          <w:lang w:val="es-DO"/>
        </w:rPr>
        <w:t xml:space="preserve">Randolph Health </w:t>
      </w:r>
      <w:r w:rsidR="006B61CD" w:rsidRPr="00BB5007">
        <w:rPr>
          <w:sz w:val="24"/>
          <w:szCs w:val="24"/>
          <w:lang w:val="es-DO"/>
        </w:rPr>
        <w:t>no cobra intereses sobre la deuda de los pacientes, pero a partir del 1 de julio de 2025</w:t>
      </w:r>
      <w:r w:rsidR="00C41701">
        <w:rPr>
          <w:sz w:val="24"/>
          <w:szCs w:val="24"/>
          <w:lang w:val="es-DO"/>
        </w:rPr>
        <w:t xml:space="preserve"> en adelante</w:t>
      </w:r>
      <w:r w:rsidR="006B61CD" w:rsidRPr="00BB5007">
        <w:rPr>
          <w:sz w:val="24"/>
          <w:szCs w:val="24"/>
          <w:lang w:val="es-DO"/>
        </w:rPr>
        <w:t xml:space="preserve"> no cobrará un porcentaje superior al 3</w:t>
      </w:r>
      <w:r w:rsidR="007D21B9" w:rsidRPr="00BB5007">
        <w:rPr>
          <w:sz w:val="24"/>
          <w:szCs w:val="24"/>
          <w:lang w:val="es-DO"/>
        </w:rPr>
        <w:t xml:space="preserve">%. </w:t>
      </w:r>
    </w:p>
    <w:p w14:paraId="574FAE8E" w14:textId="77777777" w:rsidR="00C41701" w:rsidRPr="00BB5007" w:rsidRDefault="00C41701" w:rsidP="00C41701">
      <w:pPr>
        <w:pStyle w:val="NoSpacing"/>
        <w:jc w:val="both"/>
        <w:rPr>
          <w:sz w:val="24"/>
          <w:szCs w:val="24"/>
          <w:lang w:val="es-DO"/>
        </w:rPr>
      </w:pPr>
    </w:p>
    <w:p w14:paraId="26E86E21" w14:textId="77777777" w:rsidR="006B61CD" w:rsidRPr="00BB5007" w:rsidRDefault="006B61CD" w:rsidP="006B61CD">
      <w:pPr>
        <w:pStyle w:val="NoSpacing"/>
        <w:keepNext/>
        <w:numPr>
          <w:ilvl w:val="0"/>
          <w:numId w:val="6"/>
        </w:numPr>
        <w:rPr>
          <w:bCs/>
          <w:sz w:val="24"/>
          <w:szCs w:val="24"/>
          <w:lang w:val="es-DO"/>
        </w:rPr>
      </w:pPr>
      <w:r w:rsidRPr="00BB5007">
        <w:rPr>
          <w:bCs/>
          <w:sz w:val="24"/>
          <w:szCs w:val="24"/>
          <w:lang w:val="es-DO"/>
        </w:rPr>
        <w:t>Randolph Health</w:t>
      </w:r>
      <w:r w:rsidR="00C41701">
        <w:rPr>
          <w:bCs/>
          <w:sz w:val="24"/>
          <w:szCs w:val="24"/>
          <w:lang w:val="es-DO"/>
        </w:rPr>
        <w:t xml:space="preserve"> </w:t>
      </w:r>
      <w:r w:rsidR="00C41701" w:rsidRPr="00BB5007">
        <w:rPr>
          <w:bCs/>
          <w:sz w:val="24"/>
          <w:szCs w:val="24"/>
          <w:lang w:val="es-DO"/>
        </w:rPr>
        <w:t>actualmente</w:t>
      </w:r>
      <w:r w:rsidRPr="00BB5007">
        <w:rPr>
          <w:bCs/>
          <w:sz w:val="24"/>
          <w:szCs w:val="24"/>
          <w:lang w:val="es-DO"/>
        </w:rPr>
        <w:t xml:space="preserve"> no vende la deuda médica del paciente; sin embargo, en caso de que la deuda del paciente se venda a un cobrador de deudas tercero, se aplicará lo siguiente:</w:t>
      </w:r>
    </w:p>
    <w:p w14:paraId="3DD5BB16" w14:textId="77777777" w:rsidR="00AA3C5D" w:rsidRPr="00BB5007" w:rsidRDefault="00AA3C5D" w:rsidP="00AA3C5D">
      <w:pPr>
        <w:pStyle w:val="NoSpacing"/>
        <w:ind w:left="1440"/>
        <w:jc w:val="both"/>
        <w:rPr>
          <w:sz w:val="24"/>
          <w:szCs w:val="24"/>
          <w:lang w:val="es-DO"/>
        </w:rPr>
      </w:pPr>
    </w:p>
    <w:p w14:paraId="4B76FF54" w14:textId="77777777" w:rsidR="00AA3C5D" w:rsidRPr="00BB5007" w:rsidRDefault="006B61CD" w:rsidP="00AA3C5D">
      <w:pPr>
        <w:pStyle w:val="NoSpacing"/>
        <w:numPr>
          <w:ilvl w:val="0"/>
          <w:numId w:val="7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La deuda no se venderá a</w:t>
      </w:r>
      <w:r w:rsidR="00C41701">
        <w:rPr>
          <w:sz w:val="24"/>
          <w:szCs w:val="24"/>
          <w:lang w:val="es-DO"/>
        </w:rPr>
        <w:t xml:space="preserve"> terceros antes de que transcurran </w:t>
      </w:r>
      <w:r w:rsidRPr="00BB5007">
        <w:rPr>
          <w:sz w:val="24"/>
          <w:szCs w:val="24"/>
          <w:lang w:val="es-DO"/>
        </w:rPr>
        <w:t xml:space="preserve"> 120 días desde el envío de la primera factura al paciente.</w:t>
      </w:r>
    </w:p>
    <w:p w14:paraId="2F2E062B" w14:textId="77777777" w:rsidR="00AA3C5D" w:rsidRPr="00BB5007" w:rsidRDefault="00AA3C5D" w:rsidP="00AA3C5D">
      <w:pPr>
        <w:pStyle w:val="NoSpacing"/>
        <w:ind w:left="1800"/>
        <w:jc w:val="both"/>
        <w:rPr>
          <w:sz w:val="24"/>
          <w:szCs w:val="24"/>
          <w:lang w:val="es-DO"/>
        </w:rPr>
      </w:pPr>
    </w:p>
    <w:p w14:paraId="13AF727F" w14:textId="77777777" w:rsidR="006B61CD" w:rsidRPr="00BB5007" w:rsidRDefault="006B61CD" w:rsidP="006B61CD">
      <w:pPr>
        <w:pStyle w:val="NoSpacing"/>
        <w:numPr>
          <w:ilvl w:val="0"/>
          <w:numId w:val="7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La deuda</w:t>
      </w:r>
      <w:r w:rsidR="00810C49">
        <w:rPr>
          <w:sz w:val="24"/>
          <w:szCs w:val="24"/>
          <w:lang w:val="es-DO"/>
        </w:rPr>
        <w:t xml:space="preserve"> </w:t>
      </w:r>
      <w:r w:rsidR="00810C49" w:rsidRPr="00BB5007">
        <w:rPr>
          <w:sz w:val="24"/>
          <w:szCs w:val="24"/>
          <w:lang w:val="es-DO"/>
        </w:rPr>
        <w:t>con niveles de ingresos igua</w:t>
      </w:r>
      <w:r w:rsidR="00810C49">
        <w:rPr>
          <w:sz w:val="24"/>
          <w:szCs w:val="24"/>
          <w:lang w:val="es-DO"/>
        </w:rPr>
        <w:t>les o inferiores al 300% de los niveles federales de pobreza</w:t>
      </w:r>
      <w:r w:rsidRPr="00BB5007">
        <w:rPr>
          <w:sz w:val="24"/>
          <w:szCs w:val="24"/>
          <w:lang w:val="es-DO"/>
        </w:rPr>
        <w:t xml:space="preserve"> no se venderá a terceros, salvo con el fin de aliviar la deuda</w:t>
      </w:r>
      <w:r w:rsidR="00C41701">
        <w:rPr>
          <w:sz w:val="24"/>
          <w:szCs w:val="24"/>
          <w:lang w:val="es-DO"/>
        </w:rPr>
        <w:t xml:space="preserve">. </w:t>
      </w:r>
    </w:p>
    <w:p w14:paraId="4CC82191" w14:textId="77777777" w:rsidR="00AA3C5D" w:rsidRPr="00BB5007" w:rsidRDefault="00AA3C5D" w:rsidP="00AA3C5D">
      <w:pPr>
        <w:pStyle w:val="NoSpacing"/>
        <w:jc w:val="both"/>
        <w:rPr>
          <w:sz w:val="24"/>
          <w:szCs w:val="24"/>
          <w:lang w:val="es-DO"/>
        </w:rPr>
      </w:pPr>
    </w:p>
    <w:p w14:paraId="34BC90B1" w14:textId="77777777" w:rsidR="00AA3C5D" w:rsidRPr="00BB5007" w:rsidRDefault="006B61CD" w:rsidP="00AA3C5D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Randolph Health ni sus socios de cobro pueden tomar las siguientes acciones para cobrar deudas médicas:</w:t>
      </w:r>
    </w:p>
    <w:p w14:paraId="4107A80C" w14:textId="77777777" w:rsidR="00AA3C5D" w:rsidRPr="00BB5007" w:rsidRDefault="00AA3C5D" w:rsidP="00AA3C5D">
      <w:pPr>
        <w:pStyle w:val="NoSpacing"/>
        <w:ind w:left="1440"/>
        <w:jc w:val="both"/>
        <w:rPr>
          <w:sz w:val="24"/>
          <w:szCs w:val="24"/>
          <w:lang w:val="es-DO"/>
        </w:rPr>
      </w:pPr>
    </w:p>
    <w:p w14:paraId="5DC6B4B7" w14:textId="77777777" w:rsidR="00AA3C5D" w:rsidRPr="00BB5007" w:rsidRDefault="00C41701" w:rsidP="00AA3C5D">
      <w:pPr>
        <w:pStyle w:val="NoSpacing"/>
        <w:numPr>
          <w:ilvl w:val="0"/>
          <w:numId w:val="8"/>
        </w:num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 xml:space="preserve">Causar el arresto </w:t>
      </w:r>
      <w:r w:rsidR="006B61CD" w:rsidRPr="00BB5007">
        <w:rPr>
          <w:sz w:val="24"/>
          <w:szCs w:val="24"/>
          <w:lang w:val="es-DO"/>
        </w:rPr>
        <w:t>de un deudor.</w:t>
      </w:r>
    </w:p>
    <w:p w14:paraId="2B0FC0F3" w14:textId="77777777" w:rsidR="00AA3C5D" w:rsidRPr="00BB5007" w:rsidRDefault="006B61CD" w:rsidP="00AA3C5D">
      <w:pPr>
        <w:pStyle w:val="NoSpacing"/>
        <w:numPr>
          <w:ilvl w:val="0"/>
          <w:numId w:val="8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Causar </w:t>
      </w:r>
      <w:r w:rsidR="00636A64">
        <w:rPr>
          <w:sz w:val="24"/>
          <w:szCs w:val="24"/>
          <w:lang w:val="es-DO"/>
        </w:rPr>
        <w:t>que se declare en</w:t>
      </w:r>
      <w:r w:rsidRPr="00BB5007">
        <w:rPr>
          <w:sz w:val="24"/>
          <w:szCs w:val="24"/>
          <w:lang w:val="es-DO"/>
        </w:rPr>
        <w:t xml:space="preserve"> desacato civil</w:t>
      </w:r>
      <w:r w:rsidR="00636A64">
        <w:rPr>
          <w:sz w:val="24"/>
          <w:szCs w:val="24"/>
          <w:lang w:val="es-DO"/>
        </w:rPr>
        <w:t xml:space="preserve"> </w:t>
      </w:r>
      <w:r w:rsidR="00810C49">
        <w:rPr>
          <w:sz w:val="24"/>
          <w:szCs w:val="24"/>
          <w:lang w:val="es-DO"/>
        </w:rPr>
        <w:t>a un deudor o que lo encarcelen</w:t>
      </w:r>
      <w:r w:rsidR="00636A64">
        <w:rPr>
          <w:sz w:val="24"/>
          <w:szCs w:val="24"/>
          <w:lang w:val="es-DO"/>
        </w:rPr>
        <w:t xml:space="preserve">. </w:t>
      </w:r>
    </w:p>
    <w:p w14:paraId="1669F668" w14:textId="77777777" w:rsidR="00AA3C5D" w:rsidRPr="00BB5007" w:rsidRDefault="00810C49" w:rsidP="00AA3C5D">
      <w:pPr>
        <w:pStyle w:val="NoSpacing"/>
        <w:numPr>
          <w:ilvl w:val="0"/>
          <w:numId w:val="8"/>
        </w:numPr>
        <w:jc w:val="both"/>
        <w:rPr>
          <w:sz w:val="24"/>
          <w:szCs w:val="24"/>
          <w:lang w:val="es-DO"/>
        </w:rPr>
      </w:pPr>
      <w:r>
        <w:rPr>
          <w:sz w:val="24"/>
          <w:szCs w:val="24"/>
          <w:lang w:val="es-DO"/>
        </w:rPr>
        <w:t>Ejecutar hipoteca</w:t>
      </w:r>
      <w:r w:rsidR="00636A64">
        <w:rPr>
          <w:sz w:val="24"/>
          <w:szCs w:val="24"/>
          <w:lang w:val="es-DO"/>
        </w:rPr>
        <w:t xml:space="preserve"> (foreclosure) de</w:t>
      </w:r>
      <w:r w:rsidR="006B61CD" w:rsidRPr="00BB5007">
        <w:rPr>
          <w:sz w:val="24"/>
          <w:szCs w:val="24"/>
          <w:lang w:val="es-DO"/>
        </w:rPr>
        <w:t xml:space="preserve"> inmuebles del deudor.</w:t>
      </w:r>
    </w:p>
    <w:p w14:paraId="7A1EBC3C" w14:textId="77777777" w:rsidR="00AA3C5D" w:rsidRDefault="006B61CD" w:rsidP="009F451B">
      <w:pPr>
        <w:pStyle w:val="NoSpacing"/>
        <w:numPr>
          <w:ilvl w:val="0"/>
          <w:numId w:val="8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Embargar el salario o la devolución del impuesto estatal</w:t>
      </w:r>
      <w:r w:rsidR="009F451B">
        <w:rPr>
          <w:sz w:val="24"/>
          <w:szCs w:val="24"/>
          <w:lang w:val="es-DO"/>
        </w:rPr>
        <w:t xml:space="preserve"> </w:t>
      </w:r>
      <w:r w:rsidR="009F451B" w:rsidRPr="00BB5007">
        <w:rPr>
          <w:sz w:val="24"/>
          <w:szCs w:val="24"/>
          <w:lang w:val="es-DO"/>
        </w:rPr>
        <w:t>de un deudor</w:t>
      </w:r>
    </w:p>
    <w:p w14:paraId="08283C71" w14:textId="77777777" w:rsidR="009F451B" w:rsidRPr="009F451B" w:rsidRDefault="009F451B" w:rsidP="009F451B">
      <w:pPr>
        <w:pStyle w:val="NoSpacing"/>
        <w:ind w:left="1800"/>
        <w:jc w:val="both"/>
        <w:rPr>
          <w:sz w:val="24"/>
          <w:szCs w:val="24"/>
          <w:lang w:val="es-DO"/>
        </w:rPr>
      </w:pPr>
    </w:p>
    <w:p w14:paraId="0AA36B3C" w14:textId="77777777" w:rsidR="00AA3C5D" w:rsidRPr="00BB5007" w:rsidRDefault="006B61CD" w:rsidP="00AA3C5D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>Randolph Health ni ninguno de sus socios de cobro emprenderán acciones o esfuerzos extraordinarios de cobro permitidos durante 180 días después de que se haya enviado la primera factura.</w:t>
      </w:r>
    </w:p>
    <w:p w14:paraId="3A558868" w14:textId="77777777" w:rsidR="00BA07DB" w:rsidRPr="00BB5007" w:rsidRDefault="00BA07DB" w:rsidP="00881629">
      <w:pPr>
        <w:pStyle w:val="NoSpacing"/>
        <w:rPr>
          <w:sz w:val="24"/>
          <w:szCs w:val="24"/>
          <w:lang w:val="es-DO"/>
        </w:rPr>
      </w:pPr>
    </w:p>
    <w:p w14:paraId="7E5ECCAD" w14:textId="77777777" w:rsidR="00BA07DB" w:rsidRPr="00BB5007" w:rsidRDefault="008147E0" w:rsidP="00881629">
      <w:pPr>
        <w:pStyle w:val="NoSpacing"/>
        <w:rPr>
          <w:b/>
          <w:sz w:val="24"/>
          <w:szCs w:val="24"/>
          <w:u w:val="single"/>
          <w:lang w:val="es-DO"/>
        </w:rPr>
      </w:pPr>
      <w:r w:rsidRPr="00BB5007">
        <w:rPr>
          <w:b/>
          <w:sz w:val="24"/>
          <w:szCs w:val="24"/>
          <w:u w:val="single"/>
          <w:lang w:val="es-DO"/>
        </w:rPr>
        <w:t>RESPONSABILIDAD DE LA INTERPRETACIÓN</w:t>
      </w:r>
    </w:p>
    <w:p w14:paraId="15DF1351" w14:textId="77777777" w:rsidR="00BA07DB" w:rsidRPr="00BB5007" w:rsidRDefault="00BA07DB" w:rsidP="00881629">
      <w:pPr>
        <w:pStyle w:val="NoSpacing"/>
        <w:rPr>
          <w:sz w:val="24"/>
          <w:szCs w:val="24"/>
          <w:lang w:val="es-DO"/>
        </w:rPr>
      </w:pPr>
    </w:p>
    <w:p w14:paraId="29F4D7AE" w14:textId="77777777" w:rsidR="00F41B64" w:rsidRPr="00BB5007" w:rsidRDefault="008147E0" w:rsidP="00881629">
      <w:pPr>
        <w:pStyle w:val="NoSpacing"/>
        <w:rPr>
          <w:sz w:val="24"/>
          <w:szCs w:val="24"/>
          <w:lang w:val="es-DO"/>
        </w:rPr>
      </w:pPr>
      <w:r w:rsidRPr="00BB5007">
        <w:rPr>
          <w:sz w:val="24"/>
          <w:szCs w:val="24"/>
          <w:lang w:val="es-DO"/>
        </w:rPr>
        <w:t xml:space="preserve">El </w:t>
      </w:r>
      <w:r w:rsidR="009F451B">
        <w:rPr>
          <w:sz w:val="24"/>
          <w:szCs w:val="24"/>
          <w:lang w:val="es-DO"/>
        </w:rPr>
        <w:t xml:space="preserve"> Jefe </w:t>
      </w:r>
      <w:r w:rsidRPr="00BB5007">
        <w:rPr>
          <w:sz w:val="24"/>
          <w:szCs w:val="24"/>
          <w:lang w:val="es-DO"/>
        </w:rPr>
        <w:t xml:space="preserve">Director Financiero será responsable de la interpretación de esta política. </w:t>
      </w:r>
    </w:p>
    <w:p w14:paraId="3102EC1A" w14:textId="77777777" w:rsidR="008147E0" w:rsidRPr="00BB5007" w:rsidRDefault="008147E0" w:rsidP="00881629">
      <w:pPr>
        <w:pStyle w:val="NoSpacing"/>
        <w:rPr>
          <w:sz w:val="24"/>
          <w:szCs w:val="24"/>
          <w:lang w:val="es-DO"/>
        </w:rPr>
      </w:pPr>
    </w:p>
    <w:p w14:paraId="58287CA2" w14:textId="77777777" w:rsidR="00F41B64" w:rsidRPr="00BB5007" w:rsidRDefault="008147E0" w:rsidP="00377739">
      <w:pPr>
        <w:pStyle w:val="NoSpacing"/>
        <w:keepNext/>
        <w:rPr>
          <w:b/>
          <w:i/>
          <w:sz w:val="24"/>
          <w:szCs w:val="24"/>
          <w:lang w:val="es-DO"/>
        </w:rPr>
      </w:pPr>
      <w:r w:rsidRPr="00BB5007">
        <w:rPr>
          <w:b/>
          <w:sz w:val="24"/>
          <w:szCs w:val="24"/>
          <w:lang w:val="es-DO"/>
        </w:rPr>
        <w:t>Aprobación especial</w:t>
      </w:r>
      <w:r w:rsidR="00F41B64" w:rsidRPr="00BB5007">
        <w:rPr>
          <w:sz w:val="24"/>
          <w:szCs w:val="24"/>
          <w:lang w:val="es-DO"/>
        </w:rPr>
        <w:tab/>
      </w:r>
      <w:r w:rsidR="00DC336C" w:rsidRPr="00BB5007">
        <w:rPr>
          <w:sz w:val="24"/>
          <w:szCs w:val="24"/>
          <w:lang w:val="es-DO"/>
        </w:rPr>
        <w:tab/>
      </w:r>
      <w:r w:rsidRPr="00BB5007">
        <w:rPr>
          <w:b/>
          <w:sz w:val="24"/>
          <w:szCs w:val="24"/>
          <w:lang w:val="es-DO"/>
        </w:rPr>
        <w:t>Firma</w:t>
      </w:r>
      <w:r w:rsidR="00F41B64" w:rsidRPr="00BB5007">
        <w:rPr>
          <w:sz w:val="24"/>
          <w:szCs w:val="24"/>
          <w:lang w:val="es-DO"/>
        </w:rPr>
        <w:tab/>
      </w:r>
      <w:r w:rsidR="00F41B64" w:rsidRPr="00BB5007">
        <w:rPr>
          <w:sz w:val="24"/>
          <w:szCs w:val="24"/>
          <w:lang w:val="es-DO"/>
        </w:rPr>
        <w:tab/>
      </w:r>
      <w:r w:rsidR="00F41B64" w:rsidRPr="00BB5007">
        <w:rPr>
          <w:sz w:val="24"/>
          <w:szCs w:val="24"/>
          <w:lang w:val="es-DO"/>
        </w:rPr>
        <w:tab/>
      </w:r>
      <w:r w:rsidRPr="00BB5007">
        <w:rPr>
          <w:sz w:val="24"/>
          <w:szCs w:val="24"/>
          <w:lang w:val="es-DO"/>
        </w:rPr>
        <w:t xml:space="preserve">             </w:t>
      </w:r>
      <w:r w:rsidRPr="00BB5007">
        <w:rPr>
          <w:b/>
          <w:sz w:val="24"/>
          <w:szCs w:val="24"/>
          <w:lang w:val="es-DO"/>
        </w:rPr>
        <w:t>Fecha</w:t>
      </w:r>
    </w:p>
    <w:p w14:paraId="24422EDE" w14:textId="77777777" w:rsidR="00377739" w:rsidRPr="00BB5007" w:rsidRDefault="00377739" w:rsidP="00377739">
      <w:pPr>
        <w:pStyle w:val="NoSpacing"/>
        <w:keepNext/>
        <w:rPr>
          <w:b/>
          <w:i/>
          <w:sz w:val="24"/>
          <w:szCs w:val="24"/>
          <w:lang w:val="es-DO"/>
        </w:rPr>
      </w:pPr>
    </w:p>
    <w:p w14:paraId="1A0CB03A" w14:textId="77777777" w:rsidR="00F41B64" w:rsidRPr="00BB5007" w:rsidRDefault="00F41B64" w:rsidP="00377739">
      <w:pPr>
        <w:pStyle w:val="NoSpacing"/>
        <w:keepNext/>
        <w:rPr>
          <w:sz w:val="24"/>
          <w:szCs w:val="24"/>
          <w:lang w:val="es-DO"/>
        </w:rPr>
      </w:pPr>
    </w:p>
    <w:p w14:paraId="73D14FAC" w14:textId="77777777" w:rsidR="00F41B64" w:rsidRPr="00BB5007" w:rsidRDefault="0024380C" w:rsidP="00881629">
      <w:pPr>
        <w:pStyle w:val="NoSpacing"/>
        <w:rPr>
          <w:sz w:val="24"/>
          <w:szCs w:val="24"/>
          <w:lang w:val="es-DO"/>
        </w:rPr>
      </w:pPr>
      <w:r w:rsidRPr="00BB5007">
        <w:rPr>
          <w:sz w:val="24"/>
          <w:szCs w:val="24"/>
          <w:u w:val="single"/>
          <w:lang w:val="es-DO"/>
        </w:rPr>
        <w:tab/>
      </w:r>
      <w:r w:rsidRPr="00BB5007">
        <w:rPr>
          <w:sz w:val="24"/>
          <w:szCs w:val="24"/>
          <w:u w:val="single"/>
          <w:lang w:val="es-DO"/>
        </w:rPr>
        <w:tab/>
      </w:r>
      <w:r w:rsidR="00F41B64" w:rsidRPr="00BB5007">
        <w:rPr>
          <w:sz w:val="24"/>
          <w:szCs w:val="24"/>
          <w:lang w:val="es-DO"/>
        </w:rPr>
        <w:t xml:space="preserve">     </w:t>
      </w:r>
      <w:r w:rsidR="00DC336C" w:rsidRPr="00BB5007">
        <w:rPr>
          <w:sz w:val="24"/>
          <w:szCs w:val="24"/>
          <w:lang w:val="es-DO"/>
        </w:rPr>
        <w:tab/>
      </w:r>
      <w:r w:rsidR="00F41B64" w:rsidRPr="00BB5007">
        <w:rPr>
          <w:sz w:val="24"/>
          <w:szCs w:val="24"/>
          <w:lang w:val="es-DO"/>
        </w:rPr>
        <w:t xml:space="preserve"> </w:t>
      </w:r>
      <w:r w:rsidR="00E6758C" w:rsidRPr="00BB5007">
        <w:rPr>
          <w:sz w:val="24"/>
          <w:szCs w:val="24"/>
          <w:lang w:val="es-DO"/>
        </w:rPr>
        <w:tab/>
      </w:r>
      <w:r w:rsidR="00F41B64" w:rsidRPr="00BB5007">
        <w:rPr>
          <w:sz w:val="24"/>
          <w:szCs w:val="24"/>
          <w:lang w:val="es-DO"/>
        </w:rPr>
        <w:t xml:space="preserve">___________________    </w:t>
      </w:r>
      <w:r w:rsidR="00E6758C" w:rsidRPr="00BB5007">
        <w:rPr>
          <w:sz w:val="24"/>
          <w:szCs w:val="24"/>
          <w:lang w:val="es-DO"/>
        </w:rPr>
        <w:tab/>
      </w:r>
      <w:r w:rsidRPr="00BB5007">
        <w:rPr>
          <w:sz w:val="24"/>
          <w:szCs w:val="24"/>
          <w:u w:val="single"/>
          <w:lang w:val="es-DO"/>
        </w:rPr>
        <w:tab/>
      </w:r>
      <w:r w:rsidRPr="00BB5007">
        <w:rPr>
          <w:sz w:val="24"/>
          <w:szCs w:val="24"/>
          <w:u w:val="single"/>
          <w:lang w:val="es-DO"/>
        </w:rPr>
        <w:tab/>
      </w:r>
      <w:r w:rsidRPr="00BB5007">
        <w:rPr>
          <w:sz w:val="24"/>
          <w:szCs w:val="24"/>
          <w:u w:val="single"/>
          <w:lang w:val="es-DO"/>
        </w:rPr>
        <w:tab/>
      </w:r>
      <w:r w:rsidR="00EF73F1" w:rsidRPr="00BB5007">
        <w:rPr>
          <w:sz w:val="24"/>
          <w:szCs w:val="24"/>
          <w:u w:val="single"/>
          <w:lang w:val="es-DO"/>
        </w:rPr>
        <w:t xml:space="preserve"> </w:t>
      </w:r>
    </w:p>
    <w:p w14:paraId="3FEA78F0" w14:textId="77777777" w:rsidR="00F41B64" w:rsidRPr="00BB5007" w:rsidRDefault="00F41B64" w:rsidP="00F44673">
      <w:pPr>
        <w:pStyle w:val="NoSpacing"/>
        <w:rPr>
          <w:sz w:val="24"/>
          <w:lang w:val="es-DO"/>
        </w:rPr>
      </w:pPr>
      <w:r w:rsidRPr="00BB5007">
        <w:rPr>
          <w:sz w:val="24"/>
          <w:szCs w:val="24"/>
          <w:lang w:val="es-DO"/>
        </w:rPr>
        <w:t xml:space="preserve"> </w:t>
      </w:r>
    </w:p>
    <w:sectPr w:rsidR="00F41B64" w:rsidRPr="00BB5007" w:rsidSect="00DB26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E8F2" w14:textId="77777777" w:rsidR="00E12310" w:rsidRDefault="00E12310" w:rsidP="00967C81">
      <w:r>
        <w:separator/>
      </w:r>
    </w:p>
  </w:endnote>
  <w:endnote w:type="continuationSeparator" w:id="0">
    <w:p w14:paraId="584C6DCE" w14:textId="77777777" w:rsidR="00E12310" w:rsidRDefault="00E12310" w:rsidP="0096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5DE5" w14:textId="77777777" w:rsidR="00E12310" w:rsidRDefault="00E12310" w:rsidP="00967C81">
      <w:r>
        <w:separator/>
      </w:r>
    </w:p>
  </w:footnote>
  <w:footnote w:type="continuationSeparator" w:id="0">
    <w:p w14:paraId="5E9EABDE" w14:textId="77777777" w:rsidR="00E12310" w:rsidRDefault="00E12310" w:rsidP="0096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16C"/>
    <w:multiLevelType w:val="hybridMultilevel"/>
    <w:tmpl w:val="A9A482C2"/>
    <w:lvl w:ilvl="0" w:tplc="443C2C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C34EDA"/>
    <w:multiLevelType w:val="hybridMultilevel"/>
    <w:tmpl w:val="9F9A5AC4"/>
    <w:lvl w:ilvl="0" w:tplc="ED322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FF4C1C"/>
    <w:multiLevelType w:val="hybridMultilevel"/>
    <w:tmpl w:val="59324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0E218E">
      <w:start w:val="1"/>
      <w:numFmt w:val="upperLetter"/>
      <w:lvlText w:val="%2."/>
      <w:lvlJc w:val="left"/>
      <w:pPr>
        <w:ind w:left="1800" w:hanging="720"/>
      </w:pPr>
      <w:rPr>
        <w:rFonts w:hint="default"/>
        <w:color w:val="242424"/>
        <w:w w:val="1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0DE8"/>
    <w:multiLevelType w:val="hybridMultilevel"/>
    <w:tmpl w:val="030AE344"/>
    <w:lvl w:ilvl="0" w:tplc="3B6E38DE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6734D7C"/>
    <w:multiLevelType w:val="hybridMultilevel"/>
    <w:tmpl w:val="9D66D1A2"/>
    <w:lvl w:ilvl="0" w:tplc="1DA6D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13A57"/>
    <w:multiLevelType w:val="hybridMultilevel"/>
    <w:tmpl w:val="1D18895E"/>
    <w:lvl w:ilvl="0" w:tplc="5E682DD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B487BDF"/>
    <w:multiLevelType w:val="hybridMultilevel"/>
    <w:tmpl w:val="EA7087F6"/>
    <w:lvl w:ilvl="0" w:tplc="A38233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C1207D"/>
    <w:multiLevelType w:val="multilevel"/>
    <w:tmpl w:val="3410A01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572F6CCF"/>
    <w:multiLevelType w:val="hybridMultilevel"/>
    <w:tmpl w:val="6240B69E"/>
    <w:lvl w:ilvl="0" w:tplc="8B08355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2A80703"/>
    <w:multiLevelType w:val="hybridMultilevel"/>
    <w:tmpl w:val="8340C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558"/>
    <w:multiLevelType w:val="hybridMultilevel"/>
    <w:tmpl w:val="153C1126"/>
    <w:lvl w:ilvl="0" w:tplc="670CB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01CF2"/>
    <w:multiLevelType w:val="hybridMultilevel"/>
    <w:tmpl w:val="288ABDBC"/>
    <w:lvl w:ilvl="0" w:tplc="F058E8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CE561CD"/>
    <w:multiLevelType w:val="hybridMultilevel"/>
    <w:tmpl w:val="9B4E7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205244"/>
    <w:multiLevelType w:val="hybridMultilevel"/>
    <w:tmpl w:val="960E0A36"/>
    <w:lvl w:ilvl="0" w:tplc="C1F2D5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61674067">
    <w:abstractNumId w:val="7"/>
  </w:num>
  <w:num w:numId="2" w16cid:durableId="1258169298">
    <w:abstractNumId w:val="2"/>
  </w:num>
  <w:num w:numId="3" w16cid:durableId="27419068">
    <w:abstractNumId w:val="10"/>
  </w:num>
  <w:num w:numId="4" w16cid:durableId="1035352336">
    <w:abstractNumId w:val="6"/>
  </w:num>
  <w:num w:numId="5" w16cid:durableId="1324773806">
    <w:abstractNumId w:val="12"/>
  </w:num>
  <w:num w:numId="6" w16cid:durableId="1718433117">
    <w:abstractNumId w:val="9"/>
  </w:num>
  <w:num w:numId="7" w16cid:durableId="489830528">
    <w:abstractNumId w:val="0"/>
  </w:num>
  <w:num w:numId="8" w16cid:durableId="961811630">
    <w:abstractNumId w:val="13"/>
  </w:num>
  <w:num w:numId="9" w16cid:durableId="1757708128">
    <w:abstractNumId w:val="1"/>
  </w:num>
  <w:num w:numId="10" w16cid:durableId="1030379545">
    <w:abstractNumId w:val="4"/>
  </w:num>
  <w:num w:numId="11" w16cid:durableId="181632436">
    <w:abstractNumId w:val="11"/>
  </w:num>
  <w:num w:numId="12" w16cid:durableId="389882158">
    <w:abstractNumId w:val="5"/>
  </w:num>
  <w:num w:numId="13" w16cid:durableId="1889881050">
    <w:abstractNumId w:val="8"/>
  </w:num>
  <w:num w:numId="14" w16cid:durableId="97671564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64"/>
    <w:rsid w:val="0000325F"/>
    <w:rsid w:val="00007F04"/>
    <w:rsid w:val="00010A8D"/>
    <w:rsid w:val="00013104"/>
    <w:rsid w:val="00033DA6"/>
    <w:rsid w:val="00036A30"/>
    <w:rsid w:val="00053E8E"/>
    <w:rsid w:val="0006049B"/>
    <w:rsid w:val="00067995"/>
    <w:rsid w:val="00086CFD"/>
    <w:rsid w:val="000905E2"/>
    <w:rsid w:val="000B2C26"/>
    <w:rsid w:val="000B397E"/>
    <w:rsid w:val="000B3AF6"/>
    <w:rsid w:val="000D2E17"/>
    <w:rsid w:val="000F76BD"/>
    <w:rsid w:val="0010020F"/>
    <w:rsid w:val="00150321"/>
    <w:rsid w:val="0015145A"/>
    <w:rsid w:val="00154E01"/>
    <w:rsid w:val="00157E15"/>
    <w:rsid w:val="0018294A"/>
    <w:rsid w:val="001C6DC5"/>
    <w:rsid w:val="001C7A1B"/>
    <w:rsid w:val="001D51B3"/>
    <w:rsid w:val="001E2539"/>
    <w:rsid w:val="00200A2B"/>
    <w:rsid w:val="00220C96"/>
    <w:rsid w:val="00221AD0"/>
    <w:rsid w:val="0024380C"/>
    <w:rsid w:val="002568B5"/>
    <w:rsid w:val="00261C24"/>
    <w:rsid w:val="00264EB4"/>
    <w:rsid w:val="00270B7D"/>
    <w:rsid w:val="002716A8"/>
    <w:rsid w:val="00275746"/>
    <w:rsid w:val="00291835"/>
    <w:rsid w:val="002931FD"/>
    <w:rsid w:val="002A0BC6"/>
    <w:rsid w:val="002E4F77"/>
    <w:rsid w:val="00307341"/>
    <w:rsid w:val="003227A6"/>
    <w:rsid w:val="00335E32"/>
    <w:rsid w:val="00337D7D"/>
    <w:rsid w:val="00346626"/>
    <w:rsid w:val="00377739"/>
    <w:rsid w:val="003C4E30"/>
    <w:rsid w:val="003F0772"/>
    <w:rsid w:val="003F18F0"/>
    <w:rsid w:val="003F4C40"/>
    <w:rsid w:val="003F6809"/>
    <w:rsid w:val="00444B2F"/>
    <w:rsid w:val="00446300"/>
    <w:rsid w:val="00447567"/>
    <w:rsid w:val="0046212C"/>
    <w:rsid w:val="004B7D42"/>
    <w:rsid w:val="004C2085"/>
    <w:rsid w:val="004E77E8"/>
    <w:rsid w:val="004F46C7"/>
    <w:rsid w:val="0051770C"/>
    <w:rsid w:val="00540D5F"/>
    <w:rsid w:val="00551BBD"/>
    <w:rsid w:val="00555871"/>
    <w:rsid w:val="00564C86"/>
    <w:rsid w:val="00564D47"/>
    <w:rsid w:val="005B29D0"/>
    <w:rsid w:val="00620BF9"/>
    <w:rsid w:val="006263DD"/>
    <w:rsid w:val="00632579"/>
    <w:rsid w:val="00636A64"/>
    <w:rsid w:val="006439AC"/>
    <w:rsid w:val="00651457"/>
    <w:rsid w:val="00656F74"/>
    <w:rsid w:val="0065775C"/>
    <w:rsid w:val="006628DB"/>
    <w:rsid w:val="00664008"/>
    <w:rsid w:val="00667EB5"/>
    <w:rsid w:val="00680E67"/>
    <w:rsid w:val="00686A01"/>
    <w:rsid w:val="0069571A"/>
    <w:rsid w:val="006A3D1C"/>
    <w:rsid w:val="006B61CD"/>
    <w:rsid w:val="006F3832"/>
    <w:rsid w:val="006F4586"/>
    <w:rsid w:val="00710AAA"/>
    <w:rsid w:val="00713490"/>
    <w:rsid w:val="00721C17"/>
    <w:rsid w:val="007666BA"/>
    <w:rsid w:val="00776E3B"/>
    <w:rsid w:val="0078717A"/>
    <w:rsid w:val="007A6FBB"/>
    <w:rsid w:val="007C1B10"/>
    <w:rsid w:val="007C2F2B"/>
    <w:rsid w:val="007C41C3"/>
    <w:rsid w:val="007C7FE9"/>
    <w:rsid w:val="007D21B9"/>
    <w:rsid w:val="007E3193"/>
    <w:rsid w:val="007F61EF"/>
    <w:rsid w:val="00810C49"/>
    <w:rsid w:val="008147E0"/>
    <w:rsid w:val="00834704"/>
    <w:rsid w:val="00840493"/>
    <w:rsid w:val="00841E78"/>
    <w:rsid w:val="008464C7"/>
    <w:rsid w:val="00853A7B"/>
    <w:rsid w:val="00866C95"/>
    <w:rsid w:val="00874D1D"/>
    <w:rsid w:val="00875457"/>
    <w:rsid w:val="00881629"/>
    <w:rsid w:val="0089576F"/>
    <w:rsid w:val="008B3194"/>
    <w:rsid w:val="008D5D23"/>
    <w:rsid w:val="00912331"/>
    <w:rsid w:val="00927964"/>
    <w:rsid w:val="009402F4"/>
    <w:rsid w:val="00950DC7"/>
    <w:rsid w:val="00955EE9"/>
    <w:rsid w:val="00967C81"/>
    <w:rsid w:val="00986FE2"/>
    <w:rsid w:val="00993DAF"/>
    <w:rsid w:val="009976FA"/>
    <w:rsid w:val="009A4F74"/>
    <w:rsid w:val="009B38A8"/>
    <w:rsid w:val="009B4F96"/>
    <w:rsid w:val="009B5109"/>
    <w:rsid w:val="009C4A3B"/>
    <w:rsid w:val="009F451B"/>
    <w:rsid w:val="00A02F41"/>
    <w:rsid w:val="00A02F80"/>
    <w:rsid w:val="00A127C5"/>
    <w:rsid w:val="00A2398C"/>
    <w:rsid w:val="00A41923"/>
    <w:rsid w:val="00A457A2"/>
    <w:rsid w:val="00A55E09"/>
    <w:rsid w:val="00A64FF1"/>
    <w:rsid w:val="00A676F3"/>
    <w:rsid w:val="00A8286E"/>
    <w:rsid w:val="00A84F3D"/>
    <w:rsid w:val="00A931F4"/>
    <w:rsid w:val="00A973FA"/>
    <w:rsid w:val="00AA3C5D"/>
    <w:rsid w:val="00AB1395"/>
    <w:rsid w:val="00AB3F4F"/>
    <w:rsid w:val="00AD5D1A"/>
    <w:rsid w:val="00AE13BA"/>
    <w:rsid w:val="00AE502E"/>
    <w:rsid w:val="00AE7E74"/>
    <w:rsid w:val="00B04691"/>
    <w:rsid w:val="00B11E35"/>
    <w:rsid w:val="00B25373"/>
    <w:rsid w:val="00B254E8"/>
    <w:rsid w:val="00B32530"/>
    <w:rsid w:val="00B42BD4"/>
    <w:rsid w:val="00B5252D"/>
    <w:rsid w:val="00B528FF"/>
    <w:rsid w:val="00B5654B"/>
    <w:rsid w:val="00B57401"/>
    <w:rsid w:val="00B66887"/>
    <w:rsid w:val="00B847F5"/>
    <w:rsid w:val="00BA07DB"/>
    <w:rsid w:val="00BA6AE6"/>
    <w:rsid w:val="00BB27E8"/>
    <w:rsid w:val="00BB4277"/>
    <w:rsid w:val="00BB5007"/>
    <w:rsid w:val="00BB71E8"/>
    <w:rsid w:val="00BB78ED"/>
    <w:rsid w:val="00BC5286"/>
    <w:rsid w:val="00BC5E4E"/>
    <w:rsid w:val="00BE6601"/>
    <w:rsid w:val="00BF26A0"/>
    <w:rsid w:val="00BF62DA"/>
    <w:rsid w:val="00C000A2"/>
    <w:rsid w:val="00C031F2"/>
    <w:rsid w:val="00C21592"/>
    <w:rsid w:val="00C259D7"/>
    <w:rsid w:val="00C3097E"/>
    <w:rsid w:val="00C338DB"/>
    <w:rsid w:val="00C41701"/>
    <w:rsid w:val="00C577BF"/>
    <w:rsid w:val="00C61E8F"/>
    <w:rsid w:val="00C9247A"/>
    <w:rsid w:val="00CA6322"/>
    <w:rsid w:val="00CC42D9"/>
    <w:rsid w:val="00CC7B2D"/>
    <w:rsid w:val="00CD0CEF"/>
    <w:rsid w:val="00CF1AA1"/>
    <w:rsid w:val="00D03F1F"/>
    <w:rsid w:val="00D03F76"/>
    <w:rsid w:val="00D10A1C"/>
    <w:rsid w:val="00D13DC7"/>
    <w:rsid w:val="00D21C54"/>
    <w:rsid w:val="00D371B1"/>
    <w:rsid w:val="00D55773"/>
    <w:rsid w:val="00D6176A"/>
    <w:rsid w:val="00D67922"/>
    <w:rsid w:val="00D7162D"/>
    <w:rsid w:val="00DB262B"/>
    <w:rsid w:val="00DC13A3"/>
    <w:rsid w:val="00DC336C"/>
    <w:rsid w:val="00DC50C8"/>
    <w:rsid w:val="00DE111B"/>
    <w:rsid w:val="00DE5EF7"/>
    <w:rsid w:val="00DF3553"/>
    <w:rsid w:val="00E00E16"/>
    <w:rsid w:val="00E038DD"/>
    <w:rsid w:val="00E05FF0"/>
    <w:rsid w:val="00E12310"/>
    <w:rsid w:val="00E175D8"/>
    <w:rsid w:val="00E2008C"/>
    <w:rsid w:val="00E31306"/>
    <w:rsid w:val="00E644B9"/>
    <w:rsid w:val="00E6758C"/>
    <w:rsid w:val="00E73A21"/>
    <w:rsid w:val="00E73B5B"/>
    <w:rsid w:val="00ED34EC"/>
    <w:rsid w:val="00EF73F1"/>
    <w:rsid w:val="00F00DEF"/>
    <w:rsid w:val="00F05144"/>
    <w:rsid w:val="00F17B59"/>
    <w:rsid w:val="00F24ECF"/>
    <w:rsid w:val="00F264FF"/>
    <w:rsid w:val="00F31F31"/>
    <w:rsid w:val="00F41B64"/>
    <w:rsid w:val="00F44673"/>
    <w:rsid w:val="00F600BB"/>
    <w:rsid w:val="00F64FB5"/>
    <w:rsid w:val="00F90C4E"/>
    <w:rsid w:val="00F90EC3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4:docId w14:val="405DDA07"/>
  <w15:docId w15:val="{AA970B5E-1ED7-402B-B240-75C89B6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7F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7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7F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7F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7F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7F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7F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7F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7F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7F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7F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47F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7F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7F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7F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7F5"/>
    <w:rPr>
      <w:rFonts w:ascii="Times New Roman" w:eastAsia="Times New Roman" w:hAnsi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7F5"/>
    <w:rPr>
      <w:rFonts w:ascii="Times New Roman" w:eastAsia="Times New Roman" w:hAnsi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7F5"/>
    <w:rPr>
      <w:rFonts w:ascii="Cambria" w:eastAsia="Times New Roman" w:hAnsi="Cambri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847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7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7F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847F5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7F5"/>
    <w:rPr>
      <w:b/>
      <w:bCs/>
    </w:rPr>
  </w:style>
  <w:style w:type="character" w:styleId="Emphasis">
    <w:name w:val="Emphasis"/>
    <w:basedOn w:val="DefaultParagraphFont"/>
    <w:uiPriority w:val="20"/>
    <w:qFormat/>
    <w:rsid w:val="00B847F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847F5"/>
    <w:rPr>
      <w:szCs w:val="32"/>
    </w:rPr>
  </w:style>
  <w:style w:type="paragraph" w:styleId="ListParagraph">
    <w:name w:val="List Paragraph"/>
    <w:basedOn w:val="Normal"/>
    <w:uiPriority w:val="34"/>
    <w:qFormat/>
    <w:rsid w:val="00B847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7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7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7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7F5"/>
    <w:rPr>
      <w:b/>
      <w:i/>
      <w:sz w:val="24"/>
    </w:rPr>
  </w:style>
  <w:style w:type="character" w:styleId="SubtleEmphasis">
    <w:name w:val="Subtle Emphasis"/>
    <w:uiPriority w:val="19"/>
    <w:qFormat/>
    <w:rsid w:val="00B847F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847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7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7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7F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7F5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200A2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C81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C81"/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90C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0C4E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rsid w:val="00F90C4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C4E"/>
    <w:rPr>
      <w:rFonts w:asciiTheme="minorHAnsi" w:eastAsiaTheme="minorHAnsi" w:hAnsiTheme="minorHAnsi" w:cstheme="minorBidi"/>
      <w:b/>
      <w:bCs/>
    </w:rPr>
  </w:style>
  <w:style w:type="character" w:styleId="Hyperlink">
    <w:name w:val="Hyperlink"/>
    <w:basedOn w:val="DefaultParagraphFont"/>
    <w:uiPriority w:val="99"/>
    <w:unhideWhenUsed/>
    <w:rsid w:val="00F90C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C4E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</w:rPr>
  </w:style>
  <w:style w:type="paragraph" w:styleId="Revision">
    <w:name w:val="Revision"/>
    <w:hidden/>
    <w:uiPriority w:val="99"/>
    <w:semiHidden/>
    <w:rsid w:val="00F90C4E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F90C4E"/>
    <w:pPr>
      <w:suppressAutoHyphens/>
      <w:autoSpaceDE/>
      <w:autoSpaceDN/>
      <w:adjustRightInd/>
      <w:spacing w:after="120"/>
    </w:pPr>
    <w:rPr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90C4E"/>
    <w:rPr>
      <w:rFonts w:ascii="Times New Roman" w:eastAsia="Times New Roman" w:hAnsi="Times New Roman"/>
      <w:snapToGrid w:val="0"/>
      <w:spacing w:val="-3"/>
      <w:sz w:val="24"/>
    </w:rPr>
  </w:style>
  <w:style w:type="table" w:styleId="TableGrid">
    <w:name w:val="Table Grid"/>
    <w:basedOn w:val="TableNormal"/>
    <w:uiPriority w:val="59"/>
    <w:rsid w:val="00BB42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4849A564F714185618ED28A4CE77A" ma:contentTypeVersion="13" ma:contentTypeDescription="Create a new document." ma:contentTypeScope="" ma:versionID="12aa317b87a5911a8d1394f9891790e9">
  <xsd:schema xmlns:xsd="http://www.w3.org/2001/XMLSchema" xmlns:xs="http://www.w3.org/2001/XMLSchema" xmlns:p="http://schemas.microsoft.com/office/2006/metadata/properties" xmlns:ns3="e78db406-3868-4c4d-8d17-2006e8cc23c3" xmlns:ns4="d6a5f963-b804-4eae-86b4-5268769ec943" targetNamespace="http://schemas.microsoft.com/office/2006/metadata/properties" ma:root="true" ma:fieldsID="22d03559058fbd3bc7eb0a261bfd3756" ns3:_="" ns4:_="">
    <xsd:import namespace="e78db406-3868-4c4d-8d17-2006e8cc23c3"/>
    <xsd:import namespace="d6a5f963-b804-4eae-86b4-5268769ec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db406-3868-4c4d-8d17-2006e8cc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f963-b804-4eae-86b4-5268769e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e78db406-3868-4c4d-8d17-2006e8cc23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259F5-D597-49A6-8BC0-828D845F8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87D71-4BF4-4911-932E-761C100C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db406-3868-4c4d-8d17-2006e8cc23c3"/>
    <ds:schemaRef ds:uri="d6a5f963-b804-4eae-86b4-5268769e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8D7D2-1675-4D0A-9AE5-EA33F28EBDCB}">
  <ds:schemaRefs>
    <ds:schemaRef ds:uri="http://schemas.microsoft.com/office/2006/metadata/properties"/>
    <ds:schemaRef ds:uri="e78db406-3868-4c4d-8d17-2006e8cc23c3"/>
  </ds:schemaRefs>
</ds:datastoreItem>
</file>

<file path=customXml/itemProps4.xml><?xml version="1.0" encoding="utf-8"?>
<ds:datastoreItem xmlns:ds="http://schemas.openxmlformats.org/officeDocument/2006/customXml" ds:itemID="{9BB15D1F-FBB1-40EC-BE5C-151F57844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Hospital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PINJA</dc:creator>
  <cp:lastModifiedBy>Parsons Donna</cp:lastModifiedBy>
  <cp:revision>2</cp:revision>
  <cp:lastPrinted>2024-12-23T16:43:00Z</cp:lastPrinted>
  <dcterms:created xsi:type="dcterms:W3CDTF">2025-01-09T13:59:00Z</dcterms:created>
  <dcterms:modified xsi:type="dcterms:W3CDTF">2025-01-09T13:59:00Z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0x010100CB44849A564F714185618ED28A4CE77A</vt:lpwstr>
  </property>
  <property fmtid="{D5CDD505-2E9C-101B-9397-08002B2CF9AE}" pid="3" name="_DocHome">
    <vt:i4>-1985064762</vt:i4>
  </property>
</Properties>
</file>